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C0" w:rsidRPr="00F95EDA" w:rsidRDefault="00061173" w:rsidP="002A4926">
      <w:pPr>
        <w:spacing w:after="0" w:line="240" w:lineRule="auto"/>
        <w:jc w:val="both"/>
        <w:rPr>
          <w:rFonts w:ascii="Arial" w:hAnsi="Arial" w:cs="Arial"/>
          <w:b/>
          <w:color w:val="000000" w:themeColor="text1"/>
          <w:sz w:val="28"/>
          <w:szCs w:val="16"/>
        </w:rPr>
      </w:pPr>
      <w:r w:rsidRPr="00F95EDA">
        <w:rPr>
          <w:rFonts w:ascii="Arial" w:hAnsi="Arial" w:cs="Arial"/>
          <w:b/>
          <w:color w:val="000000" w:themeColor="text1"/>
          <w:sz w:val="28"/>
          <w:szCs w:val="16"/>
        </w:rPr>
        <w:t xml:space="preserve">Plasma Fibrinogen and Echocardiography </w:t>
      </w:r>
      <w:r w:rsidR="00A43088" w:rsidRPr="00F95EDA">
        <w:rPr>
          <w:rFonts w:ascii="Arial" w:hAnsi="Arial" w:cs="Arial"/>
          <w:b/>
          <w:color w:val="000000" w:themeColor="text1"/>
          <w:sz w:val="28"/>
          <w:szCs w:val="16"/>
        </w:rPr>
        <w:t>as Diagnostic Tool for</w:t>
      </w:r>
      <w:r w:rsidR="00633CC0" w:rsidRPr="00F95EDA">
        <w:rPr>
          <w:rFonts w:ascii="Arial" w:hAnsi="Arial" w:cs="Arial"/>
          <w:b/>
          <w:color w:val="000000" w:themeColor="text1"/>
          <w:sz w:val="28"/>
          <w:szCs w:val="16"/>
        </w:rPr>
        <w:t xml:space="preserve"> Left Ventricular Hypertrophy </w:t>
      </w:r>
      <w:r w:rsidR="00A43088" w:rsidRPr="00F95EDA">
        <w:rPr>
          <w:rFonts w:ascii="Arial" w:hAnsi="Arial" w:cs="Arial"/>
          <w:b/>
          <w:color w:val="000000" w:themeColor="text1"/>
          <w:sz w:val="28"/>
          <w:szCs w:val="16"/>
        </w:rPr>
        <w:t>among CKD Patients</w:t>
      </w:r>
      <w:r w:rsidR="00633CC0" w:rsidRPr="00F95EDA">
        <w:rPr>
          <w:rFonts w:ascii="Arial" w:hAnsi="Arial" w:cs="Arial"/>
          <w:b/>
          <w:color w:val="000000" w:themeColor="text1"/>
          <w:sz w:val="28"/>
          <w:szCs w:val="16"/>
        </w:rPr>
        <w:t xml:space="preserve"> </w:t>
      </w:r>
    </w:p>
    <w:p w:rsidR="00600FC8" w:rsidRPr="00F95EDA" w:rsidRDefault="00600FC8" w:rsidP="002A4926">
      <w:pPr>
        <w:spacing w:after="0" w:line="240" w:lineRule="auto"/>
        <w:rPr>
          <w:rFonts w:ascii="Arial" w:hAnsi="Arial" w:cs="Arial"/>
          <w:color w:val="000000" w:themeColor="text1"/>
          <w:sz w:val="16"/>
          <w:szCs w:val="16"/>
        </w:rPr>
      </w:pPr>
    </w:p>
    <w:p w:rsidR="001A2456" w:rsidRPr="00F95EDA" w:rsidRDefault="00600FC8" w:rsidP="002A4926">
      <w:pPr>
        <w:spacing w:after="0" w:line="240" w:lineRule="auto"/>
        <w:rPr>
          <w:rFonts w:ascii="Arial" w:hAnsi="Arial" w:cs="Arial"/>
          <w:bCs/>
          <w:color w:val="000000" w:themeColor="text1"/>
          <w:sz w:val="16"/>
          <w:szCs w:val="16"/>
          <w:vertAlign w:val="superscript"/>
        </w:rPr>
      </w:pPr>
      <w:r w:rsidRPr="00F95EDA">
        <w:rPr>
          <w:rFonts w:ascii="Arial" w:hAnsi="Arial" w:cs="Arial"/>
          <w:color w:val="000000" w:themeColor="text1"/>
          <w:sz w:val="16"/>
          <w:szCs w:val="16"/>
        </w:rPr>
        <w:t>HUMA HUSSAIN</w:t>
      </w:r>
      <w:r w:rsidRPr="00F95EDA">
        <w:rPr>
          <w:rFonts w:ascii="Arial" w:hAnsi="Arial" w:cs="Arial"/>
          <w:color w:val="000000" w:themeColor="text1"/>
          <w:sz w:val="16"/>
          <w:szCs w:val="16"/>
          <w:vertAlign w:val="superscript"/>
        </w:rPr>
        <w:t>1</w:t>
      </w:r>
      <w:r w:rsidRPr="00F95EDA">
        <w:rPr>
          <w:rFonts w:ascii="Arial" w:hAnsi="Arial" w:cs="Arial"/>
          <w:color w:val="000000" w:themeColor="text1"/>
          <w:sz w:val="16"/>
          <w:szCs w:val="16"/>
        </w:rPr>
        <w:t>, MUNIZA SAEED</w:t>
      </w:r>
      <w:r w:rsidRPr="00F95EDA">
        <w:rPr>
          <w:rFonts w:ascii="Arial" w:hAnsi="Arial" w:cs="Arial"/>
          <w:color w:val="000000" w:themeColor="text1"/>
          <w:sz w:val="16"/>
          <w:szCs w:val="16"/>
          <w:vertAlign w:val="superscript"/>
        </w:rPr>
        <w:t>2</w:t>
      </w:r>
      <w:r w:rsidRPr="00F95EDA">
        <w:rPr>
          <w:rFonts w:ascii="Arial" w:hAnsi="Arial" w:cs="Arial"/>
          <w:color w:val="000000" w:themeColor="text1"/>
          <w:sz w:val="16"/>
          <w:szCs w:val="16"/>
        </w:rPr>
        <w:t xml:space="preserve">, </w:t>
      </w:r>
      <w:r w:rsidRPr="00F95EDA">
        <w:rPr>
          <w:rFonts w:ascii="Arial" w:hAnsi="Arial" w:cs="Arial"/>
          <w:bCs/>
          <w:color w:val="000000" w:themeColor="text1"/>
          <w:sz w:val="16"/>
          <w:szCs w:val="16"/>
        </w:rPr>
        <w:t>HIFZA NOOR LODHI</w:t>
      </w:r>
      <w:r w:rsidRPr="00F95EDA">
        <w:rPr>
          <w:rFonts w:ascii="Arial" w:hAnsi="Arial" w:cs="Arial"/>
          <w:bCs/>
          <w:color w:val="000000" w:themeColor="text1"/>
          <w:sz w:val="16"/>
          <w:szCs w:val="16"/>
          <w:vertAlign w:val="superscript"/>
        </w:rPr>
        <w:t>3</w:t>
      </w:r>
      <w:r w:rsidRPr="00F95EDA">
        <w:rPr>
          <w:rFonts w:ascii="Arial" w:hAnsi="Arial" w:cs="Arial"/>
          <w:color w:val="000000" w:themeColor="text1"/>
          <w:sz w:val="16"/>
          <w:szCs w:val="16"/>
        </w:rPr>
        <w:t xml:space="preserve">, </w:t>
      </w:r>
      <w:r w:rsidRPr="00F95EDA">
        <w:rPr>
          <w:rFonts w:ascii="Arial" w:hAnsi="Arial" w:cs="Arial"/>
          <w:bCs/>
          <w:color w:val="000000" w:themeColor="text1"/>
          <w:sz w:val="16"/>
          <w:szCs w:val="16"/>
        </w:rPr>
        <w:t>SHAGUFTA KHALIQ</w:t>
      </w:r>
      <w:r w:rsidRPr="00F95EDA">
        <w:rPr>
          <w:rFonts w:ascii="Arial" w:hAnsi="Arial" w:cs="Arial"/>
          <w:bCs/>
          <w:color w:val="000000" w:themeColor="text1"/>
          <w:sz w:val="16"/>
          <w:szCs w:val="16"/>
          <w:vertAlign w:val="superscript"/>
        </w:rPr>
        <w:t>1</w:t>
      </w:r>
    </w:p>
    <w:p w:rsidR="00593EDB" w:rsidRPr="00F95EDA" w:rsidRDefault="00593EDB" w:rsidP="002A4926">
      <w:pPr>
        <w:spacing w:after="0" w:line="240" w:lineRule="auto"/>
        <w:rPr>
          <w:rFonts w:ascii="Arial" w:hAnsi="Arial" w:cs="Arial"/>
          <w:i/>
          <w:color w:val="000000" w:themeColor="text1"/>
          <w:sz w:val="14"/>
          <w:szCs w:val="16"/>
        </w:rPr>
      </w:pPr>
      <w:r w:rsidRPr="00F95EDA">
        <w:rPr>
          <w:rFonts w:ascii="Arial" w:hAnsi="Arial" w:cs="Arial"/>
          <w:bCs/>
          <w:i/>
          <w:color w:val="000000" w:themeColor="text1"/>
          <w:sz w:val="14"/>
          <w:szCs w:val="16"/>
          <w:vertAlign w:val="superscript"/>
        </w:rPr>
        <w:t>1</w:t>
      </w:r>
      <w:r w:rsidRPr="00F95EDA">
        <w:rPr>
          <w:rFonts w:ascii="Arial" w:hAnsi="Arial" w:cs="Arial"/>
          <w:bCs/>
          <w:i/>
          <w:color w:val="000000" w:themeColor="text1"/>
          <w:sz w:val="14"/>
          <w:szCs w:val="16"/>
        </w:rPr>
        <w:t>Department of Physiology, Amna Inayat Medical College</w:t>
      </w:r>
      <w:r w:rsidRPr="00F95EDA">
        <w:rPr>
          <w:rFonts w:ascii="Arial" w:hAnsi="Arial" w:cs="Arial"/>
          <w:i/>
          <w:color w:val="000000" w:themeColor="text1"/>
          <w:sz w:val="14"/>
          <w:szCs w:val="16"/>
        </w:rPr>
        <w:t>, Sheikhupura-Pakistan</w:t>
      </w:r>
    </w:p>
    <w:p w:rsidR="00593EDB" w:rsidRPr="00F95EDA" w:rsidRDefault="00593EDB" w:rsidP="002A4926">
      <w:pPr>
        <w:spacing w:after="0" w:line="240" w:lineRule="auto"/>
        <w:rPr>
          <w:rFonts w:ascii="Arial" w:hAnsi="Arial" w:cs="Arial"/>
          <w:i/>
          <w:color w:val="000000" w:themeColor="text1"/>
          <w:sz w:val="14"/>
          <w:szCs w:val="16"/>
        </w:rPr>
      </w:pPr>
      <w:r w:rsidRPr="00F95EDA">
        <w:rPr>
          <w:rFonts w:ascii="Arial" w:hAnsi="Arial" w:cs="Arial"/>
          <w:bCs/>
          <w:i/>
          <w:color w:val="000000" w:themeColor="text1"/>
          <w:sz w:val="14"/>
          <w:szCs w:val="16"/>
          <w:vertAlign w:val="superscript"/>
        </w:rPr>
        <w:t>2</w:t>
      </w:r>
      <w:r w:rsidRPr="00F95EDA">
        <w:rPr>
          <w:rFonts w:ascii="Arial" w:hAnsi="Arial" w:cs="Arial"/>
          <w:bCs/>
          <w:i/>
          <w:color w:val="000000" w:themeColor="text1"/>
          <w:sz w:val="14"/>
          <w:szCs w:val="16"/>
        </w:rPr>
        <w:t>Department of Physiology, Ameer ud Din Medical College</w:t>
      </w:r>
      <w:r w:rsidRPr="00F95EDA">
        <w:rPr>
          <w:rFonts w:ascii="Arial" w:hAnsi="Arial" w:cs="Arial"/>
          <w:i/>
          <w:color w:val="000000" w:themeColor="text1"/>
          <w:sz w:val="14"/>
          <w:szCs w:val="16"/>
        </w:rPr>
        <w:t>, Lahore-Pakistan</w:t>
      </w:r>
    </w:p>
    <w:p w:rsidR="00593EDB" w:rsidRPr="00F95EDA" w:rsidRDefault="00593EDB" w:rsidP="002A4926">
      <w:pPr>
        <w:spacing w:after="0" w:line="240" w:lineRule="auto"/>
        <w:rPr>
          <w:rFonts w:ascii="Arial" w:hAnsi="Arial" w:cs="Arial"/>
          <w:i/>
          <w:color w:val="000000" w:themeColor="text1"/>
          <w:sz w:val="14"/>
          <w:szCs w:val="16"/>
        </w:rPr>
      </w:pPr>
      <w:r w:rsidRPr="00F95EDA">
        <w:rPr>
          <w:rFonts w:ascii="Arial" w:hAnsi="Arial" w:cs="Arial"/>
          <w:bCs/>
          <w:i/>
          <w:color w:val="000000" w:themeColor="text1"/>
          <w:sz w:val="14"/>
          <w:szCs w:val="16"/>
          <w:vertAlign w:val="superscript"/>
        </w:rPr>
        <w:t>3</w:t>
      </w:r>
      <w:r w:rsidRPr="00F95EDA">
        <w:rPr>
          <w:rFonts w:ascii="Arial" w:hAnsi="Arial" w:cs="Arial"/>
          <w:bCs/>
          <w:i/>
          <w:color w:val="000000" w:themeColor="text1"/>
          <w:sz w:val="14"/>
          <w:szCs w:val="16"/>
        </w:rPr>
        <w:t>Department of Physiology, Rashid Latif Medical College</w:t>
      </w:r>
      <w:r w:rsidRPr="00F95EDA">
        <w:rPr>
          <w:rFonts w:ascii="Arial" w:hAnsi="Arial" w:cs="Arial"/>
          <w:i/>
          <w:color w:val="000000" w:themeColor="text1"/>
          <w:sz w:val="14"/>
          <w:szCs w:val="16"/>
        </w:rPr>
        <w:t>, Lahore-Pakistan</w:t>
      </w:r>
    </w:p>
    <w:p w:rsidR="00593EDB" w:rsidRPr="00F95EDA" w:rsidRDefault="00600FC8" w:rsidP="002A4926">
      <w:pPr>
        <w:spacing w:after="0" w:line="240" w:lineRule="auto"/>
        <w:rPr>
          <w:rFonts w:ascii="Arial" w:hAnsi="Arial" w:cs="Arial"/>
          <w:bCs/>
          <w:i/>
          <w:color w:val="000000" w:themeColor="text1"/>
          <w:sz w:val="14"/>
          <w:szCs w:val="16"/>
        </w:rPr>
      </w:pPr>
      <w:r w:rsidRPr="00F95EDA">
        <w:rPr>
          <w:rFonts w:ascii="Arial" w:hAnsi="Arial" w:cs="Arial"/>
          <w:bCs/>
          <w:i/>
          <w:color w:val="000000" w:themeColor="text1"/>
          <w:sz w:val="14"/>
          <w:szCs w:val="16"/>
        </w:rPr>
        <w:t>C</w:t>
      </w:r>
      <w:r w:rsidR="00593EDB" w:rsidRPr="00F95EDA">
        <w:rPr>
          <w:rFonts w:ascii="Arial" w:hAnsi="Arial" w:cs="Arial"/>
          <w:bCs/>
          <w:i/>
          <w:color w:val="000000" w:themeColor="text1"/>
          <w:sz w:val="14"/>
          <w:szCs w:val="16"/>
        </w:rPr>
        <w:t xml:space="preserve">orrespondence to Dr. </w:t>
      </w:r>
      <w:r w:rsidR="00593EDB" w:rsidRPr="00F95EDA">
        <w:rPr>
          <w:rFonts w:ascii="Arial" w:hAnsi="Arial" w:cs="Arial"/>
          <w:i/>
          <w:color w:val="000000" w:themeColor="text1"/>
          <w:sz w:val="14"/>
          <w:szCs w:val="16"/>
        </w:rPr>
        <w:t>Huma Hussain</w:t>
      </w:r>
      <w:r w:rsidR="00593EDB" w:rsidRPr="00F95EDA">
        <w:rPr>
          <w:rFonts w:ascii="Arial" w:hAnsi="Arial" w:cs="Arial"/>
          <w:bCs/>
          <w:i/>
          <w:color w:val="000000" w:themeColor="text1"/>
          <w:sz w:val="14"/>
          <w:szCs w:val="16"/>
        </w:rPr>
        <w:t xml:space="preserve">, Email: </w:t>
      </w:r>
      <w:hyperlink r:id="rId7" w:history="1">
        <w:r w:rsidR="00593EDB" w:rsidRPr="00F95EDA">
          <w:rPr>
            <w:rStyle w:val="Hyperlink"/>
            <w:rFonts w:ascii="Arial" w:hAnsi="Arial" w:cs="Arial"/>
            <w:bCs/>
            <w:i/>
            <w:color w:val="000000" w:themeColor="text1"/>
            <w:sz w:val="14"/>
            <w:szCs w:val="16"/>
            <w:u w:val="none"/>
          </w:rPr>
          <w:t>humahussain209@gmail.com</w:t>
        </w:r>
        <w:r w:rsidR="00593EDB" w:rsidRPr="00F95EDA">
          <w:rPr>
            <w:rStyle w:val="Hyperlink"/>
            <w:rFonts w:ascii="Arial" w:hAnsi="Arial" w:cs="Arial"/>
            <w:i/>
            <w:color w:val="000000" w:themeColor="text1"/>
            <w:sz w:val="14"/>
            <w:szCs w:val="16"/>
            <w:u w:val="none"/>
          </w:rPr>
          <w:t xml:space="preserve"> </w:t>
        </w:r>
      </w:hyperlink>
      <w:hyperlink r:id="rId8" w:history="1">
        <w:r w:rsidR="00593EDB" w:rsidRPr="00F95EDA">
          <w:rPr>
            <w:rStyle w:val="Hyperlink"/>
            <w:rFonts w:ascii="Arial" w:hAnsi="Arial" w:cs="Arial"/>
            <w:bCs/>
            <w:i/>
            <w:color w:val="000000" w:themeColor="text1"/>
            <w:sz w:val="14"/>
            <w:szCs w:val="16"/>
            <w:u w:val="none"/>
          </w:rPr>
          <w:t>Tel:+92-334-4381889</w:t>
        </w:r>
      </w:hyperlink>
      <w:bookmarkStart w:id="0" w:name="_GoBack"/>
      <w:bookmarkEnd w:id="0"/>
    </w:p>
    <w:p w:rsidR="00EA3EA0" w:rsidRPr="00F95EDA" w:rsidRDefault="00EA3EA0" w:rsidP="002A4926">
      <w:pPr>
        <w:spacing w:after="0" w:line="240" w:lineRule="auto"/>
        <w:jc w:val="both"/>
        <w:rPr>
          <w:rFonts w:ascii="Arial" w:hAnsi="Arial" w:cs="Arial"/>
          <w:b/>
          <w:bCs/>
          <w:color w:val="000000" w:themeColor="text1"/>
          <w:sz w:val="16"/>
          <w:szCs w:val="16"/>
        </w:rPr>
      </w:pPr>
    </w:p>
    <w:p w:rsidR="00600FC8" w:rsidRPr="00F95EDA" w:rsidRDefault="009D4F26" w:rsidP="00600FC8">
      <w:pPr>
        <w:pBdr>
          <w:bottom w:val="single" w:sz="4" w:space="1" w:color="auto"/>
        </w:pBdr>
        <w:spacing w:after="0" w:line="240" w:lineRule="auto"/>
        <w:ind w:left="432" w:right="396"/>
        <w:jc w:val="both"/>
        <w:rPr>
          <w:rFonts w:ascii="Arial" w:hAnsi="Arial" w:cs="Arial"/>
          <w:b/>
          <w:bCs/>
          <w:color w:val="000000" w:themeColor="text1"/>
          <w:sz w:val="20"/>
          <w:szCs w:val="16"/>
        </w:rPr>
      </w:pPr>
      <w:r w:rsidRPr="00F95EDA">
        <w:rPr>
          <w:rFonts w:ascii="Arial" w:hAnsi="Arial" w:cs="Arial"/>
          <w:b/>
          <w:bCs/>
          <w:color w:val="000000" w:themeColor="text1"/>
          <w:sz w:val="20"/>
          <w:szCs w:val="16"/>
        </w:rPr>
        <w:t>ABSTRACT</w:t>
      </w:r>
    </w:p>
    <w:p w:rsidR="00600FC8" w:rsidRPr="00F95EDA" w:rsidRDefault="00600FC8" w:rsidP="00600FC8">
      <w:pPr>
        <w:pBdr>
          <w:bottom w:val="single" w:sz="4" w:space="1" w:color="auto"/>
        </w:pBdr>
        <w:spacing w:after="0" w:line="240" w:lineRule="auto"/>
        <w:ind w:left="432" w:right="396"/>
        <w:jc w:val="both"/>
        <w:rPr>
          <w:rFonts w:ascii="Arial" w:hAnsi="Arial" w:cs="Arial"/>
          <w:b/>
          <w:bCs/>
          <w:color w:val="000000" w:themeColor="text1"/>
          <w:sz w:val="8"/>
          <w:szCs w:val="16"/>
        </w:rPr>
      </w:pPr>
    </w:p>
    <w:p w:rsidR="00E94244" w:rsidRPr="00F95EDA" w:rsidRDefault="00600FC8" w:rsidP="00600FC8">
      <w:pPr>
        <w:pBdr>
          <w:bottom w:val="single" w:sz="4" w:space="1" w:color="auto"/>
        </w:pBdr>
        <w:spacing w:after="0" w:line="240" w:lineRule="auto"/>
        <w:ind w:left="432" w:right="396"/>
        <w:jc w:val="both"/>
        <w:rPr>
          <w:rFonts w:ascii="Arial" w:hAnsi="Arial" w:cs="Arial"/>
          <w:color w:val="000000" w:themeColor="text1"/>
          <w:sz w:val="16"/>
          <w:szCs w:val="16"/>
        </w:rPr>
      </w:pPr>
      <w:r w:rsidRPr="00F95EDA">
        <w:rPr>
          <w:rFonts w:ascii="Arial" w:hAnsi="Arial" w:cs="Arial"/>
          <w:b/>
          <w:bCs/>
          <w:color w:val="000000" w:themeColor="text1"/>
          <w:sz w:val="16"/>
          <w:szCs w:val="16"/>
        </w:rPr>
        <w:t xml:space="preserve">Background: </w:t>
      </w:r>
      <w:r w:rsidR="008F1A25" w:rsidRPr="00F95EDA">
        <w:rPr>
          <w:rFonts w:ascii="Arial" w:hAnsi="Arial" w:cs="Arial"/>
          <w:color w:val="000000" w:themeColor="text1"/>
          <w:sz w:val="16"/>
          <w:szCs w:val="16"/>
        </w:rPr>
        <w:t xml:space="preserve">Left ventricular hypertrophy is the most common cardiac event associated with chronic kidney disease. </w:t>
      </w:r>
    </w:p>
    <w:p w:rsidR="00600FC8" w:rsidRPr="00F95EDA" w:rsidRDefault="005B680F" w:rsidP="00600FC8">
      <w:pPr>
        <w:pBdr>
          <w:bottom w:val="single" w:sz="4" w:space="1" w:color="auto"/>
        </w:pBdr>
        <w:spacing w:after="0" w:line="240" w:lineRule="auto"/>
        <w:ind w:left="432" w:right="396"/>
        <w:jc w:val="both"/>
        <w:rPr>
          <w:rFonts w:ascii="Arial" w:hAnsi="Arial" w:cs="Arial"/>
          <w:color w:val="000000" w:themeColor="text1"/>
          <w:sz w:val="16"/>
          <w:szCs w:val="16"/>
        </w:rPr>
      </w:pPr>
      <w:r w:rsidRPr="00F95EDA">
        <w:rPr>
          <w:rFonts w:ascii="Arial" w:hAnsi="Arial" w:cs="Arial"/>
          <w:b/>
          <w:color w:val="000000" w:themeColor="text1"/>
          <w:sz w:val="16"/>
          <w:szCs w:val="16"/>
          <w:lang w:val="nb-NO"/>
        </w:rPr>
        <w:t>Aim</w:t>
      </w:r>
      <w:r w:rsidR="00306D6A" w:rsidRPr="00F95EDA">
        <w:rPr>
          <w:rFonts w:ascii="Arial" w:hAnsi="Arial" w:cs="Arial"/>
          <w:color w:val="000000" w:themeColor="text1"/>
          <w:sz w:val="16"/>
          <w:szCs w:val="16"/>
          <w:lang w:val="nb-NO"/>
        </w:rPr>
        <w:t xml:space="preserve">: </w:t>
      </w:r>
      <w:r w:rsidR="000D6073" w:rsidRPr="00F95EDA">
        <w:rPr>
          <w:rFonts w:ascii="Arial" w:hAnsi="Arial" w:cs="Arial"/>
          <w:color w:val="000000" w:themeColor="text1"/>
          <w:sz w:val="16"/>
          <w:szCs w:val="16"/>
        </w:rPr>
        <w:t xml:space="preserve">To detect LVH by </w:t>
      </w:r>
      <w:r w:rsidR="00F64DCC" w:rsidRPr="00F95EDA">
        <w:rPr>
          <w:rFonts w:ascii="Arial" w:hAnsi="Arial" w:cs="Arial"/>
          <w:color w:val="000000" w:themeColor="text1"/>
          <w:sz w:val="16"/>
          <w:szCs w:val="16"/>
        </w:rPr>
        <w:t>echo</w:t>
      </w:r>
      <w:r w:rsidR="000D6073" w:rsidRPr="00F95EDA">
        <w:rPr>
          <w:rFonts w:ascii="Arial" w:hAnsi="Arial" w:cs="Arial"/>
          <w:color w:val="000000" w:themeColor="text1"/>
          <w:sz w:val="16"/>
          <w:szCs w:val="16"/>
        </w:rPr>
        <w:t xml:space="preserve">cardiography </w:t>
      </w:r>
      <w:r w:rsidR="007A68BF" w:rsidRPr="00F95EDA">
        <w:rPr>
          <w:rFonts w:ascii="Arial" w:hAnsi="Arial" w:cs="Arial"/>
          <w:color w:val="000000" w:themeColor="text1"/>
          <w:sz w:val="16"/>
          <w:szCs w:val="16"/>
        </w:rPr>
        <w:t xml:space="preserve">among </w:t>
      </w:r>
      <w:r w:rsidR="000D6073" w:rsidRPr="00F95EDA">
        <w:rPr>
          <w:rFonts w:ascii="Arial" w:hAnsi="Arial" w:cs="Arial"/>
          <w:color w:val="000000" w:themeColor="text1"/>
          <w:sz w:val="16"/>
          <w:szCs w:val="16"/>
        </w:rPr>
        <w:t>CKD</w:t>
      </w:r>
      <w:r w:rsidR="00F64DCC" w:rsidRPr="00F95EDA">
        <w:rPr>
          <w:rFonts w:ascii="Arial" w:hAnsi="Arial" w:cs="Arial"/>
          <w:color w:val="000000" w:themeColor="text1"/>
          <w:sz w:val="16"/>
          <w:szCs w:val="16"/>
        </w:rPr>
        <w:t xml:space="preserve"> </w:t>
      </w:r>
      <w:r w:rsidR="007A68BF" w:rsidRPr="00F95EDA">
        <w:rPr>
          <w:rFonts w:ascii="Arial" w:hAnsi="Arial" w:cs="Arial"/>
          <w:color w:val="000000" w:themeColor="text1"/>
          <w:sz w:val="16"/>
          <w:szCs w:val="16"/>
        </w:rPr>
        <w:t xml:space="preserve">patients </w:t>
      </w:r>
      <w:r w:rsidR="00F64DCC" w:rsidRPr="00F95EDA">
        <w:rPr>
          <w:rFonts w:ascii="Arial" w:hAnsi="Arial" w:cs="Arial"/>
          <w:color w:val="000000" w:themeColor="text1"/>
          <w:sz w:val="16"/>
          <w:szCs w:val="16"/>
        </w:rPr>
        <w:t xml:space="preserve">and </w:t>
      </w:r>
      <w:r w:rsidR="007A68BF" w:rsidRPr="00F95EDA">
        <w:rPr>
          <w:rFonts w:ascii="Arial" w:hAnsi="Arial" w:cs="Arial"/>
          <w:color w:val="000000" w:themeColor="text1"/>
          <w:sz w:val="16"/>
          <w:szCs w:val="16"/>
        </w:rPr>
        <w:t>co-</w:t>
      </w:r>
      <w:r w:rsidR="00F64DCC" w:rsidRPr="00F95EDA">
        <w:rPr>
          <w:rFonts w:ascii="Arial" w:hAnsi="Arial" w:cs="Arial"/>
          <w:color w:val="000000" w:themeColor="text1"/>
          <w:sz w:val="16"/>
          <w:szCs w:val="16"/>
        </w:rPr>
        <w:t>relationship between plasma fibrinogen and left ventricular mass index.</w:t>
      </w:r>
      <w:r w:rsidR="00033E81" w:rsidRPr="00F95EDA">
        <w:rPr>
          <w:rFonts w:ascii="Arial" w:hAnsi="Arial" w:cs="Arial"/>
          <w:color w:val="000000" w:themeColor="text1"/>
          <w:sz w:val="16"/>
          <w:szCs w:val="16"/>
        </w:rPr>
        <w:t xml:space="preserve"> </w:t>
      </w:r>
    </w:p>
    <w:p w:rsidR="00600FC8" w:rsidRPr="00F95EDA" w:rsidRDefault="00CF0A39" w:rsidP="00600FC8">
      <w:pPr>
        <w:pBdr>
          <w:bottom w:val="single" w:sz="4" w:space="1" w:color="auto"/>
        </w:pBdr>
        <w:spacing w:after="0" w:line="240" w:lineRule="auto"/>
        <w:ind w:left="432" w:right="396"/>
        <w:jc w:val="both"/>
        <w:rPr>
          <w:rFonts w:ascii="Arial" w:hAnsi="Arial" w:cs="Arial"/>
          <w:color w:val="000000" w:themeColor="text1"/>
          <w:sz w:val="16"/>
          <w:szCs w:val="16"/>
        </w:rPr>
      </w:pPr>
      <w:r w:rsidRPr="00F95EDA">
        <w:rPr>
          <w:rFonts w:ascii="Arial" w:hAnsi="Arial" w:cs="Arial"/>
          <w:b/>
          <w:color w:val="000000" w:themeColor="text1"/>
          <w:sz w:val="16"/>
          <w:szCs w:val="16"/>
        </w:rPr>
        <w:t>Study Design:</w:t>
      </w:r>
      <w:r w:rsidRPr="00F95EDA">
        <w:rPr>
          <w:rFonts w:ascii="Arial" w:hAnsi="Arial" w:cs="Arial"/>
          <w:color w:val="000000" w:themeColor="text1"/>
          <w:sz w:val="16"/>
          <w:szCs w:val="16"/>
        </w:rPr>
        <w:t xml:space="preserve"> </w:t>
      </w:r>
      <w:r w:rsidR="00536936" w:rsidRPr="00F95EDA">
        <w:rPr>
          <w:rFonts w:ascii="Arial" w:hAnsi="Arial" w:cs="Arial"/>
          <w:color w:val="000000" w:themeColor="text1"/>
          <w:sz w:val="16"/>
          <w:szCs w:val="16"/>
        </w:rPr>
        <w:t xml:space="preserve">Observational </w:t>
      </w:r>
      <w:r w:rsidR="004A691A" w:rsidRPr="00F95EDA">
        <w:rPr>
          <w:rFonts w:ascii="Arial" w:hAnsi="Arial" w:cs="Arial"/>
          <w:color w:val="000000" w:themeColor="text1"/>
          <w:sz w:val="16"/>
          <w:szCs w:val="16"/>
        </w:rPr>
        <w:t>study</w:t>
      </w:r>
      <w:r w:rsidRPr="00F95EDA">
        <w:rPr>
          <w:rFonts w:ascii="Arial" w:hAnsi="Arial" w:cs="Arial"/>
          <w:color w:val="000000" w:themeColor="text1"/>
          <w:sz w:val="16"/>
          <w:szCs w:val="16"/>
        </w:rPr>
        <w:t>.</w:t>
      </w:r>
      <w:r w:rsidR="004B2989" w:rsidRPr="00F95EDA">
        <w:rPr>
          <w:rFonts w:ascii="Arial" w:hAnsi="Arial" w:cs="Arial"/>
          <w:color w:val="000000" w:themeColor="text1"/>
          <w:sz w:val="16"/>
          <w:szCs w:val="16"/>
        </w:rPr>
        <w:t xml:space="preserve"> </w:t>
      </w:r>
    </w:p>
    <w:p w:rsidR="00600FC8" w:rsidRPr="00F95EDA" w:rsidRDefault="00306D6A" w:rsidP="00600FC8">
      <w:pPr>
        <w:pBdr>
          <w:bottom w:val="single" w:sz="4" w:space="1" w:color="auto"/>
        </w:pBdr>
        <w:spacing w:after="0" w:line="240" w:lineRule="auto"/>
        <w:ind w:left="432" w:right="396"/>
        <w:jc w:val="both"/>
        <w:rPr>
          <w:rFonts w:ascii="Arial" w:hAnsi="Arial" w:cs="Arial"/>
          <w:b/>
          <w:bCs/>
          <w:color w:val="000000" w:themeColor="text1"/>
          <w:sz w:val="16"/>
          <w:szCs w:val="16"/>
        </w:rPr>
      </w:pPr>
      <w:r w:rsidRPr="00F95EDA">
        <w:rPr>
          <w:rStyle w:val="Strong"/>
          <w:rFonts w:ascii="Arial" w:hAnsi="Arial" w:cs="Arial"/>
          <w:color w:val="000000" w:themeColor="text1"/>
          <w:sz w:val="16"/>
          <w:szCs w:val="16"/>
        </w:rPr>
        <w:t>Methodology:</w:t>
      </w:r>
      <w:r w:rsidR="00071736" w:rsidRPr="00F95EDA">
        <w:rPr>
          <w:rFonts w:ascii="Arial" w:hAnsi="Arial" w:cs="Arial"/>
          <w:color w:val="000000" w:themeColor="text1"/>
          <w:sz w:val="16"/>
          <w:szCs w:val="16"/>
        </w:rPr>
        <w:t xml:space="preserve"> </w:t>
      </w:r>
      <w:r w:rsidR="001A538D" w:rsidRPr="00F95EDA">
        <w:rPr>
          <w:rFonts w:ascii="Arial" w:hAnsi="Arial" w:cs="Arial"/>
          <w:color w:val="000000" w:themeColor="text1"/>
          <w:sz w:val="16"/>
          <w:szCs w:val="16"/>
        </w:rPr>
        <w:t>It was an observational study with t</w:t>
      </w:r>
      <w:r w:rsidR="002667A1" w:rsidRPr="00F95EDA">
        <w:rPr>
          <w:rFonts w:ascii="Arial" w:hAnsi="Arial" w:cs="Arial"/>
          <w:color w:val="000000" w:themeColor="text1"/>
          <w:sz w:val="16"/>
          <w:szCs w:val="16"/>
        </w:rPr>
        <w:t xml:space="preserve">otal of 62 </w:t>
      </w:r>
      <w:r w:rsidR="00E45415" w:rsidRPr="00F95EDA">
        <w:rPr>
          <w:rFonts w:ascii="Arial" w:hAnsi="Arial" w:cs="Arial"/>
          <w:color w:val="000000" w:themeColor="text1"/>
          <w:sz w:val="16"/>
          <w:szCs w:val="16"/>
        </w:rPr>
        <w:t>CKD</w:t>
      </w:r>
      <w:r w:rsidR="001A538D" w:rsidRPr="00F95EDA">
        <w:rPr>
          <w:rFonts w:ascii="Arial" w:hAnsi="Arial" w:cs="Arial"/>
          <w:color w:val="000000" w:themeColor="text1"/>
          <w:sz w:val="16"/>
          <w:szCs w:val="16"/>
        </w:rPr>
        <w:t xml:space="preserve"> patients </w:t>
      </w:r>
      <w:r w:rsidR="00BB05DF" w:rsidRPr="00F95EDA">
        <w:rPr>
          <w:rFonts w:ascii="Arial" w:hAnsi="Arial" w:cs="Arial"/>
          <w:color w:val="000000" w:themeColor="text1"/>
          <w:sz w:val="16"/>
          <w:szCs w:val="16"/>
        </w:rPr>
        <w:t>enrolled</w:t>
      </w:r>
      <w:r w:rsidR="001A538D" w:rsidRPr="00F95EDA">
        <w:rPr>
          <w:rFonts w:ascii="Arial" w:hAnsi="Arial" w:cs="Arial"/>
          <w:color w:val="000000" w:themeColor="text1"/>
          <w:sz w:val="16"/>
          <w:szCs w:val="16"/>
        </w:rPr>
        <w:t xml:space="preserve"> through convenience sampling</w:t>
      </w:r>
      <w:r w:rsidR="00C034E7" w:rsidRPr="00F95EDA">
        <w:rPr>
          <w:rFonts w:ascii="Arial" w:hAnsi="Arial" w:cs="Arial"/>
          <w:color w:val="000000" w:themeColor="text1"/>
          <w:sz w:val="16"/>
          <w:szCs w:val="16"/>
        </w:rPr>
        <w:t xml:space="preserve">. </w:t>
      </w:r>
      <w:r w:rsidR="00777EB8" w:rsidRPr="00F95EDA">
        <w:rPr>
          <w:rFonts w:ascii="Arial" w:hAnsi="Arial" w:cs="Arial"/>
          <w:color w:val="000000" w:themeColor="text1"/>
          <w:sz w:val="16"/>
          <w:szCs w:val="16"/>
        </w:rPr>
        <w:t>Patient</w:t>
      </w:r>
      <w:r w:rsidR="00C845C6" w:rsidRPr="00F95EDA">
        <w:rPr>
          <w:rFonts w:ascii="Arial" w:hAnsi="Arial" w:cs="Arial"/>
          <w:color w:val="000000" w:themeColor="text1"/>
          <w:sz w:val="16"/>
          <w:szCs w:val="16"/>
        </w:rPr>
        <w:t>’</w:t>
      </w:r>
      <w:r w:rsidR="00777EB8" w:rsidRPr="00F95EDA">
        <w:rPr>
          <w:rFonts w:ascii="Arial" w:hAnsi="Arial" w:cs="Arial"/>
          <w:color w:val="000000" w:themeColor="text1"/>
          <w:sz w:val="16"/>
          <w:szCs w:val="16"/>
        </w:rPr>
        <w:t>s age range</w:t>
      </w:r>
      <w:r w:rsidR="00E36F86" w:rsidRPr="00F95EDA">
        <w:rPr>
          <w:rFonts w:ascii="Arial" w:hAnsi="Arial" w:cs="Arial"/>
          <w:color w:val="000000" w:themeColor="text1"/>
          <w:sz w:val="16"/>
          <w:szCs w:val="16"/>
        </w:rPr>
        <w:t>d</w:t>
      </w:r>
      <w:r w:rsidR="00777EB8" w:rsidRPr="00F95EDA">
        <w:rPr>
          <w:rFonts w:ascii="Arial" w:hAnsi="Arial" w:cs="Arial"/>
          <w:color w:val="000000" w:themeColor="text1"/>
          <w:sz w:val="16"/>
          <w:szCs w:val="16"/>
        </w:rPr>
        <w:t xml:space="preserve"> </w:t>
      </w:r>
      <w:r w:rsidR="00E36F86" w:rsidRPr="00F95EDA">
        <w:rPr>
          <w:rFonts w:ascii="Arial" w:hAnsi="Arial" w:cs="Arial"/>
          <w:color w:val="000000" w:themeColor="text1"/>
          <w:sz w:val="16"/>
          <w:szCs w:val="16"/>
        </w:rPr>
        <w:t>from</w:t>
      </w:r>
      <w:r w:rsidR="00777EB8" w:rsidRPr="00F95EDA">
        <w:rPr>
          <w:rFonts w:ascii="Arial" w:hAnsi="Arial" w:cs="Arial"/>
          <w:color w:val="000000" w:themeColor="text1"/>
          <w:sz w:val="16"/>
          <w:szCs w:val="16"/>
        </w:rPr>
        <w:t xml:space="preserve"> 35-65 years. </w:t>
      </w:r>
      <w:r w:rsidR="00C845C6" w:rsidRPr="00F95EDA">
        <w:rPr>
          <w:rFonts w:ascii="Arial" w:hAnsi="Arial" w:cs="Arial"/>
          <w:color w:val="000000" w:themeColor="text1"/>
          <w:sz w:val="16"/>
          <w:szCs w:val="16"/>
        </w:rPr>
        <w:t>Almost</w:t>
      </w:r>
      <w:r w:rsidR="00A638FF" w:rsidRPr="00F95EDA">
        <w:rPr>
          <w:rFonts w:ascii="Arial" w:hAnsi="Arial" w:cs="Arial"/>
          <w:color w:val="000000" w:themeColor="text1"/>
          <w:sz w:val="16"/>
          <w:szCs w:val="16"/>
        </w:rPr>
        <w:t xml:space="preserve"> 3ml </w:t>
      </w:r>
      <w:r w:rsidR="00C845C6" w:rsidRPr="00F95EDA">
        <w:rPr>
          <w:rFonts w:ascii="Arial" w:hAnsi="Arial" w:cs="Arial"/>
          <w:color w:val="000000" w:themeColor="text1"/>
          <w:sz w:val="16"/>
          <w:szCs w:val="16"/>
        </w:rPr>
        <w:t xml:space="preserve">of blood </w:t>
      </w:r>
      <w:r w:rsidR="00A638FF" w:rsidRPr="00F95EDA">
        <w:rPr>
          <w:rFonts w:ascii="Arial" w:hAnsi="Arial" w:cs="Arial"/>
          <w:color w:val="000000" w:themeColor="text1"/>
          <w:sz w:val="16"/>
          <w:szCs w:val="16"/>
        </w:rPr>
        <w:t xml:space="preserve">was </w:t>
      </w:r>
      <w:r w:rsidR="00C845C6" w:rsidRPr="00F95EDA">
        <w:rPr>
          <w:rFonts w:ascii="Arial" w:hAnsi="Arial" w:cs="Arial"/>
          <w:color w:val="000000" w:themeColor="text1"/>
          <w:sz w:val="16"/>
          <w:szCs w:val="16"/>
        </w:rPr>
        <w:t>taken</w:t>
      </w:r>
      <w:r w:rsidR="00332FE1" w:rsidRPr="00F95EDA">
        <w:rPr>
          <w:rFonts w:ascii="Arial" w:hAnsi="Arial" w:cs="Arial"/>
          <w:color w:val="000000" w:themeColor="text1"/>
          <w:sz w:val="16"/>
          <w:szCs w:val="16"/>
        </w:rPr>
        <w:t xml:space="preserve"> for </w:t>
      </w:r>
      <w:r w:rsidR="00C845C6" w:rsidRPr="00F95EDA">
        <w:rPr>
          <w:rFonts w:ascii="Arial" w:hAnsi="Arial" w:cs="Arial"/>
          <w:color w:val="000000" w:themeColor="text1"/>
          <w:sz w:val="16"/>
          <w:szCs w:val="16"/>
        </w:rPr>
        <w:t>measuring</w:t>
      </w:r>
      <w:r w:rsidR="00332FE1" w:rsidRPr="00F95EDA">
        <w:rPr>
          <w:rFonts w:ascii="Arial" w:hAnsi="Arial" w:cs="Arial"/>
          <w:color w:val="000000" w:themeColor="text1"/>
          <w:sz w:val="16"/>
          <w:szCs w:val="16"/>
        </w:rPr>
        <w:t xml:space="preserve"> serum creatinine</w:t>
      </w:r>
      <w:r w:rsidR="00C00110" w:rsidRPr="00F95EDA">
        <w:rPr>
          <w:rFonts w:ascii="Arial" w:hAnsi="Arial" w:cs="Arial"/>
          <w:color w:val="000000" w:themeColor="text1"/>
          <w:sz w:val="16"/>
          <w:szCs w:val="16"/>
        </w:rPr>
        <w:t xml:space="preserve"> and fibrinogen</w:t>
      </w:r>
      <w:r w:rsidR="00332FE1" w:rsidRPr="00F95EDA">
        <w:rPr>
          <w:rFonts w:ascii="Arial" w:hAnsi="Arial" w:cs="Arial"/>
          <w:color w:val="000000" w:themeColor="text1"/>
          <w:sz w:val="16"/>
          <w:szCs w:val="16"/>
        </w:rPr>
        <w:t>.</w:t>
      </w:r>
      <w:r w:rsidR="00FF2915" w:rsidRPr="00F95EDA">
        <w:rPr>
          <w:rFonts w:ascii="Arial" w:hAnsi="Arial" w:cs="Arial"/>
          <w:color w:val="000000" w:themeColor="text1"/>
          <w:sz w:val="16"/>
          <w:szCs w:val="16"/>
        </w:rPr>
        <w:t xml:space="preserve"> Blood was centrifuged </w:t>
      </w:r>
      <w:r w:rsidR="00266F0D" w:rsidRPr="00F95EDA">
        <w:rPr>
          <w:rFonts w:ascii="Arial" w:hAnsi="Arial" w:cs="Arial"/>
          <w:color w:val="000000" w:themeColor="text1"/>
          <w:sz w:val="16"/>
          <w:szCs w:val="16"/>
        </w:rPr>
        <w:t xml:space="preserve">for </w:t>
      </w:r>
      <w:r w:rsidR="00C27313" w:rsidRPr="00F95EDA">
        <w:rPr>
          <w:rFonts w:ascii="Arial" w:hAnsi="Arial" w:cs="Arial"/>
          <w:color w:val="000000" w:themeColor="text1"/>
          <w:sz w:val="16"/>
          <w:szCs w:val="16"/>
        </w:rPr>
        <w:t>p</w:t>
      </w:r>
      <w:r w:rsidR="00FF2915" w:rsidRPr="00F95EDA">
        <w:rPr>
          <w:rFonts w:ascii="Arial" w:hAnsi="Arial" w:cs="Arial"/>
          <w:color w:val="000000" w:themeColor="text1"/>
          <w:sz w:val="16"/>
          <w:szCs w:val="16"/>
        </w:rPr>
        <w:t>lasma separat</w:t>
      </w:r>
      <w:r w:rsidR="00C27313" w:rsidRPr="00F95EDA">
        <w:rPr>
          <w:rFonts w:ascii="Arial" w:hAnsi="Arial" w:cs="Arial"/>
          <w:color w:val="000000" w:themeColor="text1"/>
          <w:sz w:val="16"/>
          <w:szCs w:val="16"/>
        </w:rPr>
        <w:t>ion</w:t>
      </w:r>
      <w:r w:rsidR="00FF2915" w:rsidRPr="00F95EDA">
        <w:rPr>
          <w:rFonts w:ascii="Arial" w:hAnsi="Arial" w:cs="Arial"/>
          <w:color w:val="000000" w:themeColor="text1"/>
          <w:sz w:val="16"/>
          <w:szCs w:val="16"/>
        </w:rPr>
        <w:t xml:space="preserve"> </w:t>
      </w:r>
      <w:r w:rsidR="00266F0D" w:rsidRPr="00F95EDA">
        <w:rPr>
          <w:rFonts w:ascii="Arial" w:hAnsi="Arial" w:cs="Arial"/>
          <w:color w:val="000000" w:themeColor="text1"/>
          <w:sz w:val="16"/>
          <w:szCs w:val="16"/>
        </w:rPr>
        <w:t>than</w:t>
      </w:r>
      <w:r w:rsidR="00FF2915" w:rsidRPr="00F95EDA">
        <w:rPr>
          <w:rFonts w:ascii="Arial" w:hAnsi="Arial" w:cs="Arial"/>
          <w:color w:val="000000" w:themeColor="text1"/>
          <w:sz w:val="16"/>
          <w:szCs w:val="16"/>
        </w:rPr>
        <w:t xml:space="preserve"> stor</w:t>
      </w:r>
      <w:r w:rsidR="00266F0D" w:rsidRPr="00F95EDA">
        <w:rPr>
          <w:rFonts w:ascii="Arial" w:hAnsi="Arial" w:cs="Arial"/>
          <w:color w:val="000000" w:themeColor="text1"/>
          <w:sz w:val="16"/>
          <w:szCs w:val="16"/>
        </w:rPr>
        <w:t>ed</w:t>
      </w:r>
      <w:r w:rsidR="00FF2915" w:rsidRPr="00F95EDA">
        <w:rPr>
          <w:rFonts w:ascii="Arial" w:hAnsi="Arial" w:cs="Arial"/>
          <w:color w:val="000000" w:themeColor="text1"/>
          <w:sz w:val="16"/>
          <w:szCs w:val="16"/>
        </w:rPr>
        <w:t xml:space="preserve"> at -20°C. </w:t>
      </w:r>
      <w:r w:rsidR="00013906" w:rsidRPr="00F95EDA">
        <w:rPr>
          <w:rFonts w:ascii="Arial" w:hAnsi="Arial" w:cs="Arial"/>
          <w:color w:val="000000" w:themeColor="text1"/>
          <w:sz w:val="16"/>
          <w:szCs w:val="16"/>
        </w:rPr>
        <w:t>ECG</w:t>
      </w:r>
      <w:r w:rsidR="00C00110" w:rsidRPr="00F95EDA">
        <w:rPr>
          <w:rFonts w:ascii="Arial" w:hAnsi="Arial" w:cs="Arial"/>
          <w:color w:val="000000" w:themeColor="text1"/>
          <w:sz w:val="16"/>
          <w:szCs w:val="16"/>
        </w:rPr>
        <w:t xml:space="preserve"> findings were confirmed by echo</w:t>
      </w:r>
      <w:r w:rsidR="003D1521" w:rsidRPr="00F95EDA">
        <w:rPr>
          <w:rFonts w:ascii="Arial" w:hAnsi="Arial" w:cs="Arial"/>
          <w:color w:val="000000" w:themeColor="text1"/>
          <w:sz w:val="16"/>
          <w:szCs w:val="16"/>
        </w:rPr>
        <w:t xml:space="preserve"> in all enrolled patients</w:t>
      </w:r>
      <w:r w:rsidR="00C00110" w:rsidRPr="00F95EDA">
        <w:rPr>
          <w:rFonts w:ascii="Arial" w:hAnsi="Arial" w:cs="Arial"/>
          <w:color w:val="000000" w:themeColor="text1"/>
          <w:sz w:val="16"/>
          <w:szCs w:val="16"/>
        </w:rPr>
        <w:t xml:space="preserve">. </w:t>
      </w:r>
      <w:r w:rsidR="008C61A2" w:rsidRPr="00F95EDA">
        <w:rPr>
          <w:rFonts w:ascii="Arial" w:hAnsi="Arial" w:cs="Arial"/>
          <w:color w:val="000000" w:themeColor="text1"/>
          <w:sz w:val="16"/>
          <w:szCs w:val="16"/>
        </w:rPr>
        <w:t>Data was ev</w:t>
      </w:r>
      <w:r w:rsidR="003E2E6E" w:rsidRPr="00F95EDA">
        <w:rPr>
          <w:rFonts w:ascii="Arial" w:hAnsi="Arial" w:cs="Arial"/>
          <w:color w:val="000000" w:themeColor="text1"/>
          <w:sz w:val="16"/>
          <w:szCs w:val="16"/>
        </w:rPr>
        <w:t>aluated by SPSS v</w:t>
      </w:r>
      <w:r w:rsidR="004D331A" w:rsidRPr="00F95EDA">
        <w:rPr>
          <w:rFonts w:ascii="Arial" w:hAnsi="Arial" w:cs="Arial"/>
          <w:color w:val="000000" w:themeColor="text1"/>
          <w:sz w:val="16"/>
          <w:szCs w:val="16"/>
        </w:rPr>
        <w:t>.</w:t>
      </w:r>
      <w:r w:rsidR="003E2E6E" w:rsidRPr="00F95EDA">
        <w:rPr>
          <w:rFonts w:ascii="Arial" w:hAnsi="Arial" w:cs="Arial"/>
          <w:color w:val="000000" w:themeColor="text1"/>
          <w:sz w:val="16"/>
          <w:szCs w:val="16"/>
        </w:rPr>
        <w:t>24</w:t>
      </w:r>
      <w:r w:rsidR="008C61A2" w:rsidRPr="00F95EDA">
        <w:rPr>
          <w:rFonts w:ascii="Arial" w:hAnsi="Arial" w:cs="Arial"/>
          <w:color w:val="000000" w:themeColor="text1"/>
          <w:sz w:val="16"/>
          <w:szCs w:val="16"/>
        </w:rPr>
        <w:t xml:space="preserve">. </w:t>
      </w:r>
      <w:r w:rsidR="005A36A1" w:rsidRPr="00F95EDA">
        <w:rPr>
          <w:rFonts w:ascii="Arial" w:hAnsi="Arial" w:cs="Arial"/>
          <w:color w:val="000000" w:themeColor="text1"/>
          <w:sz w:val="16"/>
          <w:szCs w:val="16"/>
          <w:lang w:val="en-GB"/>
        </w:rPr>
        <w:t>The results were presented as</w:t>
      </w:r>
      <w:r w:rsidR="009F3559" w:rsidRPr="00F95EDA">
        <w:rPr>
          <w:rFonts w:ascii="Arial" w:hAnsi="Arial" w:cs="Arial"/>
          <w:color w:val="000000" w:themeColor="text1"/>
          <w:sz w:val="16"/>
          <w:szCs w:val="16"/>
          <w:lang w:val="en-GB"/>
        </w:rPr>
        <w:t xml:space="preserve"> counts (percentage), means and</w:t>
      </w:r>
      <w:r w:rsidR="005A36A1" w:rsidRPr="00F95EDA">
        <w:rPr>
          <w:rFonts w:ascii="Arial" w:hAnsi="Arial" w:cs="Arial"/>
          <w:color w:val="000000" w:themeColor="text1"/>
          <w:sz w:val="16"/>
          <w:szCs w:val="16"/>
          <w:lang w:val="en-GB"/>
        </w:rPr>
        <w:t xml:space="preserve"> standard deviation as appropriate</w:t>
      </w:r>
      <w:r w:rsidR="004935F9" w:rsidRPr="00F95EDA">
        <w:rPr>
          <w:rFonts w:ascii="Arial" w:hAnsi="Arial" w:cs="Arial"/>
          <w:bCs/>
          <w:color w:val="000000" w:themeColor="text1"/>
          <w:sz w:val="16"/>
          <w:szCs w:val="16"/>
        </w:rPr>
        <w:t>.</w:t>
      </w:r>
      <w:r w:rsidR="00C874A3" w:rsidRPr="00F95EDA">
        <w:rPr>
          <w:rFonts w:ascii="Arial" w:hAnsi="Arial" w:cs="Arial"/>
          <w:color w:val="000000" w:themeColor="text1"/>
          <w:sz w:val="16"/>
          <w:szCs w:val="16"/>
        </w:rPr>
        <w:t xml:space="preserve"> Spearman correlation was applied to check the correlation of variables.</w:t>
      </w:r>
      <w:r w:rsidR="00D56DC7" w:rsidRPr="00F95EDA">
        <w:rPr>
          <w:rFonts w:ascii="Arial" w:hAnsi="Arial" w:cs="Arial"/>
          <w:b/>
          <w:bCs/>
          <w:color w:val="000000" w:themeColor="text1"/>
          <w:sz w:val="16"/>
          <w:szCs w:val="16"/>
        </w:rPr>
        <w:t xml:space="preserve"> </w:t>
      </w:r>
    </w:p>
    <w:p w:rsidR="00600FC8" w:rsidRPr="00F95EDA" w:rsidRDefault="00306D6A" w:rsidP="00600FC8">
      <w:pPr>
        <w:pBdr>
          <w:bottom w:val="single" w:sz="4" w:space="1" w:color="auto"/>
        </w:pBdr>
        <w:spacing w:after="0" w:line="240" w:lineRule="auto"/>
        <w:ind w:left="432" w:right="396"/>
        <w:jc w:val="both"/>
        <w:rPr>
          <w:rFonts w:ascii="Arial" w:hAnsi="Arial" w:cs="Arial"/>
          <w:color w:val="000000" w:themeColor="text1"/>
          <w:sz w:val="16"/>
          <w:szCs w:val="16"/>
        </w:rPr>
      </w:pPr>
      <w:r w:rsidRPr="00F95EDA">
        <w:rPr>
          <w:rFonts w:ascii="Arial" w:hAnsi="Arial" w:cs="Arial"/>
          <w:b/>
          <w:bCs/>
          <w:color w:val="000000" w:themeColor="text1"/>
          <w:sz w:val="16"/>
          <w:szCs w:val="16"/>
        </w:rPr>
        <w:t xml:space="preserve">Results: </w:t>
      </w:r>
      <w:r w:rsidR="00BF7A4F" w:rsidRPr="00F95EDA">
        <w:rPr>
          <w:rFonts w:ascii="Arial" w:hAnsi="Arial" w:cs="Arial"/>
          <w:color w:val="000000" w:themeColor="text1"/>
          <w:sz w:val="16"/>
          <w:szCs w:val="16"/>
        </w:rPr>
        <w:t>Echo</w:t>
      </w:r>
      <w:r w:rsidR="00C43921" w:rsidRPr="00F95EDA">
        <w:rPr>
          <w:rFonts w:ascii="Arial" w:hAnsi="Arial" w:cs="Arial"/>
          <w:color w:val="000000" w:themeColor="text1"/>
          <w:sz w:val="16"/>
          <w:szCs w:val="16"/>
        </w:rPr>
        <w:t xml:space="preserve"> confirmed that LVH</w:t>
      </w:r>
      <w:r w:rsidR="00BF7A4F" w:rsidRPr="00F95EDA">
        <w:rPr>
          <w:rFonts w:ascii="Arial" w:hAnsi="Arial" w:cs="Arial"/>
          <w:color w:val="000000" w:themeColor="text1"/>
          <w:sz w:val="16"/>
          <w:szCs w:val="16"/>
        </w:rPr>
        <w:t xml:space="preserve"> wa</w:t>
      </w:r>
      <w:r w:rsidR="00C43921" w:rsidRPr="00F95EDA">
        <w:rPr>
          <w:rFonts w:ascii="Arial" w:hAnsi="Arial" w:cs="Arial"/>
          <w:color w:val="000000" w:themeColor="text1"/>
          <w:sz w:val="16"/>
          <w:szCs w:val="16"/>
        </w:rPr>
        <w:t>s found in 41 (66.1%) patients with s</w:t>
      </w:r>
      <w:r w:rsidR="00BF7A4F" w:rsidRPr="00F95EDA">
        <w:rPr>
          <w:rFonts w:ascii="Arial" w:hAnsi="Arial" w:cs="Arial"/>
          <w:color w:val="000000" w:themeColor="text1"/>
          <w:sz w:val="16"/>
          <w:szCs w:val="16"/>
        </w:rPr>
        <w:t xml:space="preserve">ystolic dysfunction. </w:t>
      </w:r>
      <w:r w:rsidR="00C43921" w:rsidRPr="00F95EDA">
        <w:rPr>
          <w:rFonts w:ascii="Arial" w:hAnsi="Arial" w:cs="Arial"/>
          <w:color w:val="000000" w:themeColor="text1"/>
          <w:sz w:val="16"/>
          <w:szCs w:val="16"/>
        </w:rPr>
        <w:t>There w</w:t>
      </w:r>
      <w:r w:rsidR="007818FC" w:rsidRPr="00F95EDA">
        <w:rPr>
          <w:rFonts w:ascii="Arial" w:hAnsi="Arial" w:cs="Arial"/>
          <w:color w:val="000000" w:themeColor="text1"/>
          <w:sz w:val="16"/>
          <w:szCs w:val="16"/>
        </w:rPr>
        <w:t>as</w:t>
      </w:r>
      <w:r w:rsidR="00C43921" w:rsidRPr="00F95EDA">
        <w:rPr>
          <w:rFonts w:ascii="Arial" w:hAnsi="Arial" w:cs="Arial"/>
          <w:color w:val="000000" w:themeColor="text1"/>
          <w:sz w:val="16"/>
          <w:szCs w:val="16"/>
        </w:rPr>
        <w:t xml:space="preserve"> </w:t>
      </w:r>
      <w:r w:rsidR="007818FC" w:rsidRPr="00F95EDA">
        <w:rPr>
          <w:rFonts w:ascii="Arial" w:hAnsi="Arial" w:cs="Arial"/>
          <w:color w:val="000000" w:themeColor="text1"/>
          <w:sz w:val="16"/>
          <w:szCs w:val="16"/>
        </w:rPr>
        <w:t xml:space="preserve">a </w:t>
      </w:r>
      <w:r w:rsidR="00C43921" w:rsidRPr="00F95EDA">
        <w:rPr>
          <w:rFonts w:ascii="Arial" w:hAnsi="Arial" w:cs="Arial"/>
          <w:color w:val="000000" w:themeColor="text1"/>
          <w:sz w:val="16"/>
          <w:szCs w:val="16"/>
        </w:rPr>
        <w:t>high level of p</w:t>
      </w:r>
      <w:r w:rsidR="00BF7A4F" w:rsidRPr="00F95EDA">
        <w:rPr>
          <w:rFonts w:ascii="Arial" w:hAnsi="Arial" w:cs="Arial"/>
          <w:color w:val="000000" w:themeColor="text1"/>
          <w:sz w:val="16"/>
          <w:szCs w:val="16"/>
        </w:rPr>
        <w:t xml:space="preserve">lasma fibrinogen in 73% of </w:t>
      </w:r>
      <w:r w:rsidR="00C43921" w:rsidRPr="00F95EDA">
        <w:rPr>
          <w:rFonts w:ascii="Arial" w:hAnsi="Arial" w:cs="Arial"/>
          <w:color w:val="000000" w:themeColor="text1"/>
          <w:sz w:val="16"/>
          <w:szCs w:val="16"/>
        </w:rPr>
        <w:t>enrolled participants</w:t>
      </w:r>
      <w:r w:rsidR="00BF7A4F" w:rsidRPr="00F95EDA">
        <w:rPr>
          <w:rFonts w:ascii="Arial" w:hAnsi="Arial" w:cs="Arial"/>
          <w:color w:val="000000" w:themeColor="text1"/>
          <w:sz w:val="16"/>
          <w:szCs w:val="16"/>
        </w:rPr>
        <w:t>.</w:t>
      </w:r>
      <w:r w:rsidR="003342E5" w:rsidRPr="00F95EDA">
        <w:rPr>
          <w:rFonts w:ascii="Arial" w:hAnsi="Arial" w:cs="Arial"/>
          <w:color w:val="000000" w:themeColor="text1"/>
          <w:sz w:val="16"/>
          <w:szCs w:val="16"/>
        </w:rPr>
        <w:t xml:space="preserve"> No correlation between plasma fibrinogen and LVMI was found.</w:t>
      </w:r>
      <w:r w:rsidR="00BF7A4F" w:rsidRPr="00F95EDA">
        <w:rPr>
          <w:rFonts w:ascii="Arial" w:hAnsi="Arial" w:cs="Arial"/>
          <w:color w:val="000000" w:themeColor="text1"/>
          <w:sz w:val="16"/>
          <w:szCs w:val="16"/>
        </w:rPr>
        <w:t xml:space="preserve"> </w:t>
      </w:r>
    </w:p>
    <w:p w:rsidR="00600FC8" w:rsidRPr="00F95EDA" w:rsidRDefault="000E091B" w:rsidP="00600FC8">
      <w:pPr>
        <w:pBdr>
          <w:bottom w:val="single" w:sz="4" w:space="1" w:color="auto"/>
        </w:pBdr>
        <w:spacing w:after="0" w:line="240" w:lineRule="auto"/>
        <w:ind w:left="432" w:right="396"/>
        <w:jc w:val="both"/>
        <w:rPr>
          <w:rFonts w:ascii="Arial" w:hAnsi="Arial" w:cs="Arial"/>
          <w:color w:val="000000" w:themeColor="text1"/>
          <w:sz w:val="16"/>
          <w:szCs w:val="16"/>
        </w:rPr>
      </w:pPr>
      <w:r w:rsidRPr="00F95EDA">
        <w:rPr>
          <w:rFonts w:ascii="Arial" w:hAnsi="Arial" w:cs="Arial"/>
          <w:b/>
          <w:color w:val="000000" w:themeColor="text1"/>
          <w:sz w:val="16"/>
          <w:szCs w:val="16"/>
        </w:rPr>
        <w:t>Practical Implication:</w:t>
      </w:r>
      <w:r w:rsidR="006D2E51" w:rsidRPr="00F95EDA">
        <w:rPr>
          <w:rFonts w:ascii="Arial" w:hAnsi="Arial" w:cs="Arial"/>
          <w:color w:val="000000" w:themeColor="text1"/>
          <w:sz w:val="16"/>
          <w:szCs w:val="16"/>
        </w:rPr>
        <w:t xml:space="preserve"> </w:t>
      </w:r>
      <w:r w:rsidR="002324C5" w:rsidRPr="00F95EDA">
        <w:rPr>
          <w:rFonts w:ascii="Arial" w:hAnsi="Arial" w:cs="Arial"/>
          <w:color w:val="000000" w:themeColor="text1"/>
          <w:sz w:val="16"/>
          <w:szCs w:val="16"/>
        </w:rPr>
        <w:t xml:space="preserve">Current project helped health providers to diagnose cardiac event at an early stage </w:t>
      </w:r>
      <w:r w:rsidR="007D7FA8" w:rsidRPr="00F95EDA">
        <w:rPr>
          <w:rFonts w:ascii="Arial" w:hAnsi="Arial" w:cs="Arial"/>
          <w:color w:val="000000" w:themeColor="text1"/>
          <w:sz w:val="16"/>
          <w:szCs w:val="16"/>
        </w:rPr>
        <w:t>among patients of</w:t>
      </w:r>
      <w:r w:rsidR="00056701" w:rsidRPr="00F95EDA">
        <w:rPr>
          <w:rFonts w:ascii="Arial" w:hAnsi="Arial" w:cs="Arial"/>
          <w:color w:val="000000" w:themeColor="text1"/>
          <w:sz w:val="16"/>
          <w:szCs w:val="16"/>
        </w:rPr>
        <w:t xml:space="preserve"> kidney fail</w:t>
      </w:r>
      <w:r w:rsidR="00056701" w:rsidRPr="00F95EDA">
        <w:rPr>
          <w:rFonts w:ascii="Arial" w:hAnsi="Arial" w:cs="Arial"/>
          <w:color w:val="000000" w:themeColor="text1"/>
          <w:sz w:val="16"/>
          <w:szCs w:val="16"/>
        </w:rPr>
        <w:softHyphen/>
        <w:t xml:space="preserve">ure </w:t>
      </w:r>
      <w:r w:rsidR="007D7FA8" w:rsidRPr="00F95EDA">
        <w:rPr>
          <w:rFonts w:ascii="Arial" w:hAnsi="Arial" w:cs="Arial"/>
          <w:color w:val="000000" w:themeColor="text1"/>
          <w:sz w:val="16"/>
          <w:szCs w:val="16"/>
        </w:rPr>
        <w:t xml:space="preserve">on </w:t>
      </w:r>
      <w:r w:rsidR="00611F72" w:rsidRPr="00F95EDA">
        <w:rPr>
          <w:rFonts w:ascii="Arial" w:hAnsi="Arial" w:cs="Arial"/>
          <w:color w:val="000000" w:themeColor="text1"/>
          <w:sz w:val="16"/>
          <w:szCs w:val="16"/>
        </w:rPr>
        <w:t xml:space="preserve">echo findings along-with plasma fibrinogen levels </w:t>
      </w:r>
      <w:r w:rsidR="007D7FA8" w:rsidRPr="00F95EDA">
        <w:rPr>
          <w:rFonts w:ascii="Arial" w:hAnsi="Arial" w:cs="Arial"/>
          <w:color w:val="000000" w:themeColor="text1"/>
          <w:sz w:val="16"/>
          <w:szCs w:val="16"/>
        </w:rPr>
        <w:t xml:space="preserve">thus </w:t>
      </w:r>
      <w:r w:rsidR="00056701" w:rsidRPr="00F95EDA">
        <w:rPr>
          <w:rFonts w:ascii="Arial" w:hAnsi="Arial" w:cs="Arial"/>
          <w:color w:val="000000" w:themeColor="text1"/>
          <w:sz w:val="16"/>
          <w:szCs w:val="16"/>
        </w:rPr>
        <w:t xml:space="preserve">the adverse outcomes could be prevented or delayed. </w:t>
      </w:r>
    </w:p>
    <w:p w:rsidR="00600FC8" w:rsidRPr="00F95EDA" w:rsidRDefault="00834993" w:rsidP="00600FC8">
      <w:pPr>
        <w:pBdr>
          <w:bottom w:val="single" w:sz="4" w:space="1" w:color="auto"/>
        </w:pBdr>
        <w:spacing w:after="0" w:line="240" w:lineRule="auto"/>
        <w:ind w:left="432" w:right="396"/>
        <w:jc w:val="both"/>
        <w:rPr>
          <w:rFonts w:ascii="Arial" w:hAnsi="Arial" w:cs="Arial"/>
          <w:color w:val="000000" w:themeColor="text1"/>
          <w:sz w:val="16"/>
          <w:szCs w:val="16"/>
        </w:rPr>
      </w:pPr>
      <w:r w:rsidRPr="00F95EDA">
        <w:rPr>
          <w:rFonts w:ascii="Arial" w:hAnsi="Arial" w:cs="Arial"/>
          <w:b/>
          <w:color w:val="000000" w:themeColor="text1"/>
          <w:sz w:val="16"/>
          <w:szCs w:val="16"/>
        </w:rPr>
        <w:t>Conclusion</w:t>
      </w:r>
      <w:r w:rsidRPr="00F95EDA">
        <w:rPr>
          <w:rFonts w:ascii="Arial" w:hAnsi="Arial" w:cs="Arial"/>
          <w:color w:val="000000" w:themeColor="text1"/>
          <w:sz w:val="16"/>
          <w:szCs w:val="16"/>
        </w:rPr>
        <w:t xml:space="preserve">: </w:t>
      </w:r>
      <w:r w:rsidR="00A522E4" w:rsidRPr="00F95EDA">
        <w:rPr>
          <w:rFonts w:ascii="Arial" w:hAnsi="Arial" w:cs="Arial"/>
          <w:color w:val="000000" w:themeColor="text1"/>
          <w:sz w:val="16"/>
          <w:szCs w:val="16"/>
        </w:rPr>
        <w:t>It was concluded that e</w:t>
      </w:r>
      <w:r w:rsidR="00FB23FA" w:rsidRPr="00F95EDA">
        <w:rPr>
          <w:rFonts w:ascii="Arial" w:hAnsi="Arial" w:cs="Arial"/>
          <w:color w:val="000000" w:themeColor="text1"/>
          <w:sz w:val="16"/>
          <w:szCs w:val="16"/>
        </w:rPr>
        <w:t>cho</w:t>
      </w:r>
      <w:r w:rsidR="005B20AB" w:rsidRPr="00F95EDA">
        <w:rPr>
          <w:rFonts w:ascii="Arial" w:hAnsi="Arial" w:cs="Arial"/>
          <w:color w:val="000000" w:themeColor="text1"/>
          <w:sz w:val="16"/>
          <w:szCs w:val="16"/>
        </w:rPr>
        <w:t xml:space="preserve">cardiography is a helpful diagnostic tool as it confirms </w:t>
      </w:r>
      <w:r w:rsidR="00930FF4" w:rsidRPr="00F95EDA">
        <w:rPr>
          <w:rFonts w:ascii="Arial" w:hAnsi="Arial" w:cs="Arial"/>
          <w:color w:val="000000" w:themeColor="text1"/>
          <w:sz w:val="16"/>
          <w:szCs w:val="16"/>
        </w:rPr>
        <w:t xml:space="preserve">ECG abnormalities </w:t>
      </w:r>
      <w:r w:rsidR="005B20AB" w:rsidRPr="00F95EDA">
        <w:rPr>
          <w:rFonts w:ascii="Arial" w:hAnsi="Arial" w:cs="Arial"/>
          <w:color w:val="000000" w:themeColor="text1"/>
          <w:sz w:val="16"/>
          <w:szCs w:val="16"/>
        </w:rPr>
        <w:t xml:space="preserve">seen </w:t>
      </w:r>
      <w:r w:rsidR="00930FF4" w:rsidRPr="00F95EDA">
        <w:rPr>
          <w:rFonts w:ascii="Arial" w:hAnsi="Arial" w:cs="Arial"/>
          <w:color w:val="000000" w:themeColor="text1"/>
          <w:sz w:val="16"/>
          <w:szCs w:val="16"/>
        </w:rPr>
        <w:t xml:space="preserve">in hospitalized CKD patients. All CKD patients should </w:t>
      </w:r>
      <w:r w:rsidR="005B20AB" w:rsidRPr="00F95EDA">
        <w:rPr>
          <w:rFonts w:ascii="Arial" w:hAnsi="Arial" w:cs="Arial"/>
          <w:color w:val="000000" w:themeColor="text1"/>
          <w:sz w:val="16"/>
          <w:szCs w:val="16"/>
        </w:rPr>
        <w:t>have their echocardiography</w:t>
      </w:r>
      <w:r w:rsidR="00930FF4" w:rsidRPr="00F95EDA">
        <w:rPr>
          <w:rFonts w:ascii="Arial" w:hAnsi="Arial" w:cs="Arial"/>
          <w:color w:val="000000" w:themeColor="text1"/>
          <w:sz w:val="16"/>
          <w:szCs w:val="16"/>
        </w:rPr>
        <w:t xml:space="preserve"> </w:t>
      </w:r>
      <w:r w:rsidR="005B20AB" w:rsidRPr="00F95EDA">
        <w:rPr>
          <w:rFonts w:ascii="Arial" w:hAnsi="Arial" w:cs="Arial"/>
          <w:color w:val="000000" w:themeColor="text1"/>
          <w:sz w:val="16"/>
          <w:szCs w:val="16"/>
        </w:rPr>
        <w:t xml:space="preserve">done. Plasma fibrinogen levels </w:t>
      </w:r>
      <w:r w:rsidR="00944025" w:rsidRPr="00F95EDA">
        <w:rPr>
          <w:rFonts w:ascii="Arial" w:hAnsi="Arial" w:cs="Arial"/>
          <w:color w:val="000000" w:themeColor="text1"/>
          <w:sz w:val="16"/>
          <w:szCs w:val="16"/>
        </w:rPr>
        <w:t>we</w:t>
      </w:r>
      <w:r w:rsidR="005B20AB" w:rsidRPr="00F95EDA">
        <w:rPr>
          <w:rFonts w:ascii="Arial" w:hAnsi="Arial" w:cs="Arial"/>
          <w:color w:val="000000" w:themeColor="text1"/>
          <w:sz w:val="16"/>
          <w:szCs w:val="16"/>
        </w:rPr>
        <w:t>re raise</w:t>
      </w:r>
      <w:r w:rsidR="003342E5" w:rsidRPr="00F95EDA">
        <w:rPr>
          <w:rFonts w:ascii="Arial" w:hAnsi="Arial" w:cs="Arial"/>
          <w:color w:val="000000" w:themeColor="text1"/>
          <w:sz w:val="16"/>
          <w:szCs w:val="16"/>
        </w:rPr>
        <w:t xml:space="preserve">d with declining renal function. </w:t>
      </w:r>
      <w:r w:rsidR="008D3D01" w:rsidRPr="00F95EDA">
        <w:rPr>
          <w:rFonts w:ascii="Arial" w:hAnsi="Arial" w:cs="Arial"/>
          <w:color w:val="000000" w:themeColor="text1"/>
          <w:sz w:val="16"/>
          <w:szCs w:val="16"/>
        </w:rPr>
        <w:t xml:space="preserve">Thus combination of both echo and fibrinogen levels among CKD are handful investigations for LVH. </w:t>
      </w:r>
    </w:p>
    <w:p w:rsidR="00132AC8" w:rsidRPr="00F95EDA" w:rsidRDefault="00834993" w:rsidP="00600FC8">
      <w:pPr>
        <w:pBdr>
          <w:bottom w:val="single" w:sz="4" w:space="1" w:color="auto"/>
        </w:pBdr>
        <w:spacing w:after="0" w:line="240" w:lineRule="auto"/>
        <w:ind w:left="432" w:right="396"/>
        <w:jc w:val="both"/>
        <w:rPr>
          <w:rFonts w:ascii="Arial" w:hAnsi="Arial" w:cs="Arial"/>
          <w:b/>
          <w:bCs/>
          <w:color w:val="000000" w:themeColor="text1"/>
          <w:sz w:val="16"/>
          <w:szCs w:val="16"/>
        </w:rPr>
      </w:pPr>
      <w:r w:rsidRPr="00F95EDA">
        <w:rPr>
          <w:rFonts w:ascii="Arial" w:hAnsi="Arial" w:cs="Arial"/>
          <w:b/>
          <w:color w:val="000000" w:themeColor="text1"/>
          <w:sz w:val="16"/>
          <w:szCs w:val="16"/>
        </w:rPr>
        <w:t>Keywords</w:t>
      </w:r>
      <w:r w:rsidRPr="00F95EDA">
        <w:rPr>
          <w:rFonts w:ascii="Arial" w:hAnsi="Arial" w:cs="Arial"/>
          <w:color w:val="000000" w:themeColor="text1"/>
          <w:sz w:val="16"/>
          <w:szCs w:val="16"/>
        </w:rPr>
        <w:t>:</w:t>
      </w:r>
      <w:r w:rsidR="00C20A8C" w:rsidRPr="00F95EDA">
        <w:rPr>
          <w:rFonts w:ascii="Arial" w:hAnsi="Arial" w:cs="Arial"/>
          <w:color w:val="000000" w:themeColor="text1"/>
          <w:sz w:val="16"/>
          <w:szCs w:val="16"/>
        </w:rPr>
        <w:t xml:space="preserve"> </w:t>
      </w:r>
      <w:r w:rsidR="0018433B" w:rsidRPr="00F95EDA">
        <w:rPr>
          <w:rFonts w:ascii="Arial" w:hAnsi="Arial" w:cs="Arial"/>
          <w:color w:val="000000" w:themeColor="text1"/>
          <w:sz w:val="16"/>
          <w:szCs w:val="16"/>
        </w:rPr>
        <w:t>Echo</w:t>
      </w:r>
      <w:r w:rsidR="008354C3" w:rsidRPr="00F95EDA">
        <w:rPr>
          <w:rFonts w:ascii="Arial" w:hAnsi="Arial" w:cs="Arial"/>
          <w:color w:val="000000" w:themeColor="text1"/>
          <w:sz w:val="16"/>
          <w:szCs w:val="16"/>
        </w:rPr>
        <w:t>cardiography</w:t>
      </w:r>
      <w:r w:rsidR="00AB11A1" w:rsidRPr="00F95EDA">
        <w:rPr>
          <w:rFonts w:ascii="Arial" w:hAnsi="Arial" w:cs="Arial"/>
          <w:color w:val="000000" w:themeColor="text1"/>
          <w:sz w:val="16"/>
          <w:szCs w:val="16"/>
        </w:rPr>
        <w:t xml:space="preserve">, </w:t>
      </w:r>
      <w:r w:rsidR="008354C3" w:rsidRPr="00F95EDA">
        <w:rPr>
          <w:rFonts w:ascii="Arial" w:hAnsi="Arial" w:cs="Arial"/>
          <w:color w:val="000000" w:themeColor="text1"/>
          <w:sz w:val="16"/>
          <w:szCs w:val="16"/>
        </w:rPr>
        <w:t>Chronic Kidney Disease</w:t>
      </w:r>
      <w:r w:rsidR="00AB11A1" w:rsidRPr="00F95EDA">
        <w:rPr>
          <w:rFonts w:ascii="Arial" w:hAnsi="Arial" w:cs="Arial"/>
          <w:color w:val="000000" w:themeColor="text1"/>
          <w:sz w:val="16"/>
          <w:szCs w:val="16"/>
        </w:rPr>
        <w:t xml:space="preserve">, </w:t>
      </w:r>
      <w:r w:rsidR="008354C3" w:rsidRPr="00F95EDA">
        <w:rPr>
          <w:rFonts w:ascii="Arial" w:hAnsi="Arial" w:cs="Arial"/>
          <w:color w:val="000000" w:themeColor="text1"/>
          <w:sz w:val="16"/>
          <w:szCs w:val="16"/>
        </w:rPr>
        <w:t>Left Ventricular Hypertrophy</w:t>
      </w:r>
      <w:r w:rsidR="00AB11A1" w:rsidRPr="00F95EDA">
        <w:rPr>
          <w:rFonts w:ascii="Arial" w:hAnsi="Arial" w:cs="Arial"/>
          <w:color w:val="000000" w:themeColor="text1"/>
          <w:sz w:val="16"/>
          <w:szCs w:val="16"/>
        </w:rPr>
        <w:t xml:space="preserve"> and </w:t>
      </w:r>
      <w:r w:rsidR="0018433B" w:rsidRPr="00F95EDA">
        <w:rPr>
          <w:rFonts w:ascii="Arial" w:hAnsi="Arial" w:cs="Arial"/>
          <w:color w:val="000000" w:themeColor="text1"/>
          <w:sz w:val="16"/>
          <w:szCs w:val="16"/>
        </w:rPr>
        <w:t>Plasma Fibrinogen</w:t>
      </w:r>
      <w:r w:rsidR="00AB11A1" w:rsidRPr="00F95EDA">
        <w:rPr>
          <w:rFonts w:ascii="Arial" w:hAnsi="Arial" w:cs="Arial"/>
          <w:color w:val="000000" w:themeColor="text1"/>
          <w:sz w:val="16"/>
          <w:szCs w:val="16"/>
        </w:rPr>
        <w:t>.</w:t>
      </w:r>
    </w:p>
    <w:p w:rsidR="00E83C36" w:rsidRPr="00F95EDA" w:rsidRDefault="00E83C36" w:rsidP="002A4926">
      <w:pPr>
        <w:pStyle w:val="BodyText"/>
        <w:jc w:val="both"/>
        <w:rPr>
          <w:rFonts w:ascii="Arial" w:hAnsi="Arial" w:cs="Arial"/>
          <w:b/>
          <w:color w:val="000000" w:themeColor="text1"/>
          <w:sz w:val="16"/>
          <w:szCs w:val="16"/>
        </w:rPr>
      </w:pPr>
    </w:p>
    <w:p w:rsidR="00E94244" w:rsidRPr="00F95EDA" w:rsidRDefault="00E94244" w:rsidP="002A4926">
      <w:pPr>
        <w:pStyle w:val="BodyText"/>
        <w:jc w:val="both"/>
        <w:rPr>
          <w:rFonts w:ascii="Arial" w:hAnsi="Arial" w:cs="Arial"/>
          <w:b/>
          <w:color w:val="000000" w:themeColor="text1"/>
          <w:sz w:val="20"/>
          <w:szCs w:val="16"/>
        </w:rPr>
        <w:sectPr w:rsidR="00E94244" w:rsidRPr="00F95EDA" w:rsidSect="00EA0AF0">
          <w:headerReference w:type="even" r:id="rId9"/>
          <w:headerReference w:type="default" r:id="rId10"/>
          <w:footerReference w:type="even" r:id="rId11"/>
          <w:footerReference w:type="default" r:id="rId12"/>
          <w:headerReference w:type="first" r:id="rId13"/>
          <w:footerReference w:type="first" r:id="rId14"/>
          <w:type w:val="nextColumn"/>
          <w:pgSz w:w="12240" w:h="15840" w:code="1"/>
          <w:pgMar w:top="1440" w:right="1008" w:bottom="1440" w:left="1296" w:header="720" w:footer="720" w:gutter="0"/>
          <w:pgNumType w:start="94"/>
          <w:cols w:space="720"/>
          <w:titlePg/>
          <w:docGrid w:linePitch="360"/>
        </w:sectPr>
      </w:pPr>
    </w:p>
    <w:p w:rsidR="00FA2296" w:rsidRPr="00F95EDA" w:rsidRDefault="00D833E9" w:rsidP="002A4926">
      <w:pPr>
        <w:pStyle w:val="BodyText"/>
        <w:jc w:val="both"/>
        <w:rPr>
          <w:rFonts w:ascii="Arial" w:hAnsi="Arial" w:cs="Arial"/>
          <w:b/>
          <w:color w:val="000000" w:themeColor="text1"/>
          <w:sz w:val="20"/>
          <w:szCs w:val="16"/>
        </w:rPr>
      </w:pPr>
      <w:r w:rsidRPr="00F95EDA">
        <w:rPr>
          <w:rFonts w:ascii="Arial" w:hAnsi="Arial" w:cs="Arial"/>
          <w:b/>
          <w:color w:val="000000" w:themeColor="text1"/>
          <w:sz w:val="20"/>
          <w:szCs w:val="16"/>
        </w:rPr>
        <w:lastRenderedPageBreak/>
        <w:t>I</w:t>
      </w:r>
      <w:r w:rsidR="00DC02A0" w:rsidRPr="00F95EDA">
        <w:rPr>
          <w:rFonts w:ascii="Arial" w:hAnsi="Arial" w:cs="Arial"/>
          <w:b/>
          <w:color w:val="000000" w:themeColor="text1"/>
          <w:sz w:val="20"/>
          <w:szCs w:val="16"/>
        </w:rPr>
        <w:t>NTRODUCTION</w:t>
      </w:r>
    </w:p>
    <w:p w:rsidR="00600FC8" w:rsidRPr="00F95EDA" w:rsidRDefault="00600FC8" w:rsidP="002A4926">
      <w:pPr>
        <w:pStyle w:val="BodyText"/>
        <w:jc w:val="both"/>
        <w:rPr>
          <w:rFonts w:ascii="Arial" w:hAnsi="Arial" w:cs="Arial"/>
          <w:color w:val="000000" w:themeColor="text1"/>
          <w:sz w:val="10"/>
          <w:szCs w:val="16"/>
        </w:rPr>
      </w:pPr>
    </w:p>
    <w:p w:rsidR="00F35D47" w:rsidRPr="00F95EDA" w:rsidRDefault="003E45C6" w:rsidP="002A4926">
      <w:pPr>
        <w:spacing w:after="0" w:line="240" w:lineRule="auto"/>
        <w:jc w:val="both"/>
        <w:rPr>
          <w:rFonts w:ascii="Arial" w:hAnsi="Arial" w:cs="Arial"/>
          <w:color w:val="000000" w:themeColor="text1"/>
          <w:sz w:val="16"/>
          <w:szCs w:val="16"/>
        </w:rPr>
      </w:pPr>
      <w:r w:rsidRPr="00F95EDA">
        <w:rPr>
          <w:rFonts w:ascii="Arial" w:hAnsi="Arial" w:cs="Arial"/>
          <w:color w:val="000000" w:themeColor="text1"/>
          <w:sz w:val="16"/>
          <w:szCs w:val="16"/>
        </w:rPr>
        <w:t xml:space="preserve">Literature review revealed that when </w:t>
      </w:r>
      <w:r w:rsidR="000C43B5" w:rsidRPr="00F95EDA">
        <w:rPr>
          <w:rFonts w:ascii="Arial" w:hAnsi="Arial" w:cs="Arial"/>
          <w:color w:val="000000" w:themeColor="text1"/>
          <w:sz w:val="16"/>
          <w:szCs w:val="16"/>
        </w:rPr>
        <w:t>abnormality of kidney structure and function</w:t>
      </w:r>
      <w:r w:rsidRPr="00F95EDA">
        <w:rPr>
          <w:rFonts w:ascii="Arial" w:hAnsi="Arial" w:cs="Arial"/>
          <w:color w:val="000000" w:themeColor="text1"/>
          <w:sz w:val="16"/>
          <w:szCs w:val="16"/>
        </w:rPr>
        <w:t xml:space="preserve"> (GFR&lt;60ml/min/1.73m</w:t>
      </w:r>
      <w:r w:rsidRPr="00F95EDA">
        <w:rPr>
          <w:rFonts w:ascii="Arial" w:hAnsi="Arial" w:cs="Arial"/>
          <w:color w:val="000000" w:themeColor="text1"/>
          <w:sz w:val="16"/>
          <w:szCs w:val="16"/>
          <w:vertAlign w:val="superscript"/>
        </w:rPr>
        <w:t>2</w:t>
      </w:r>
      <w:r w:rsidRPr="00F95EDA">
        <w:rPr>
          <w:rFonts w:ascii="Arial" w:hAnsi="Arial" w:cs="Arial"/>
          <w:color w:val="000000" w:themeColor="text1"/>
          <w:sz w:val="16"/>
          <w:szCs w:val="16"/>
        </w:rPr>
        <w:t>)</w:t>
      </w:r>
      <w:r w:rsidR="006A49A1" w:rsidRPr="00F95EDA">
        <w:rPr>
          <w:rFonts w:ascii="Arial" w:hAnsi="Arial" w:cs="Arial"/>
          <w:color w:val="000000" w:themeColor="text1"/>
          <w:sz w:val="16"/>
          <w:szCs w:val="16"/>
        </w:rPr>
        <w:t xml:space="preserve"> is present</w:t>
      </w:r>
      <w:r w:rsidRPr="00F95EDA">
        <w:rPr>
          <w:rFonts w:ascii="Arial" w:hAnsi="Arial" w:cs="Arial"/>
          <w:color w:val="000000" w:themeColor="text1"/>
          <w:sz w:val="16"/>
          <w:szCs w:val="16"/>
        </w:rPr>
        <w:t xml:space="preserve"> </w:t>
      </w:r>
      <w:r w:rsidR="000C43B5" w:rsidRPr="00F95EDA">
        <w:rPr>
          <w:rFonts w:ascii="Arial" w:hAnsi="Arial" w:cs="Arial"/>
          <w:color w:val="000000" w:themeColor="text1"/>
          <w:sz w:val="16"/>
          <w:szCs w:val="16"/>
        </w:rPr>
        <w:t xml:space="preserve">for more than 3 months than </w:t>
      </w:r>
      <w:r w:rsidR="00E20F08" w:rsidRPr="00F95EDA">
        <w:rPr>
          <w:rFonts w:ascii="Arial" w:hAnsi="Arial" w:cs="Arial"/>
          <w:color w:val="000000" w:themeColor="text1"/>
          <w:sz w:val="16"/>
          <w:szCs w:val="16"/>
        </w:rPr>
        <w:t>Chronic kidney disease (</w:t>
      </w:r>
      <w:r w:rsidR="000C43B5" w:rsidRPr="00F95EDA">
        <w:rPr>
          <w:rFonts w:ascii="Arial" w:hAnsi="Arial" w:cs="Arial"/>
          <w:color w:val="000000" w:themeColor="text1"/>
          <w:sz w:val="16"/>
          <w:szCs w:val="16"/>
        </w:rPr>
        <w:t>CKD</w:t>
      </w:r>
      <w:r w:rsidR="00E20F08" w:rsidRPr="00F95EDA">
        <w:rPr>
          <w:rFonts w:ascii="Arial" w:hAnsi="Arial" w:cs="Arial"/>
          <w:color w:val="000000" w:themeColor="text1"/>
          <w:sz w:val="16"/>
          <w:szCs w:val="16"/>
        </w:rPr>
        <w:t>)</w:t>
      </w:r>
      <w:r w:rsidR="000C43B5" w:rsidRPr="00F95EDA">
        <w:rPr>
          <w:rFonts w:ascii="Arial" w:hAnsi="Arial" w:cs="Arial"/>
          <w:color w:val="000000" w:themeColor="text1"/>
          <w:sz w:val="16"/>
          <w:szCs w:val="16"/>
        </w:rPr>
        <w:t xml:space="preserve"> is labeled</w:t>
      </w:r>
      <w:r w:rsidR="006A49A1" w:rsidRPr="00F95EDA">
        <w:rPr>
          <w:rFonts w:ascii="Arial" w:hAnsi="Arial" w:cs="Arial"/>
          <w:color w:val="000000" w:themeColor="text1"/>
          <w:sz w:val="16"/>
          <w:szCs w:val="16"/>
          <w:vertAlign w:val="superscript"/>
        </w:rPr>
        <w:t>1</w:t>
      </w:r>
      <w:r w:rsidR="00600FC8" w:rsidRPr="00F95EDA">
        <w:rPr>
          <w:rFonts w:ascii="Arial" w:hAnsi="Arial" w:cs="Arial"/>
          <w:color w:val="000000" w:themeColor="text1"/>
          <w:sz w:val="16"/>
          <w:szCs w:val="16"/>
        </w:rPr>
        <w:t>.</w:t>
      </w:r>
      <w:r w:rsidR="00CF2813" w:rsidRPr="00F95EDA">
        <w:rPr>
          <w:rFonts w:ascii="Arial" w:hAnsi="Arial" w:cs="Arial"/>
          <w:color w:val="000000" w:themeColor="text1"/>
          <w:sz w:val="16"/>
          <w:szCs w:val="16"/>
        </w:rPr>
        <w:t xml:space="preserve"> </w:t>
      </w:r>
      <w:r w:rsidR="00E47A41" w:rsidRPr="00F95EDA">
        <w:rPr>
          <w:rFonts w:ascii="Arial" w:hAnsi="Arial" w:cs="Arial"/>
          <w:color w:val="000000" w:themeColor="text1"/>
          <w:sz w:val="16"/>
          <w:szCs w:val="16"/>
        </w:rPr>
        <w:t>Classically,</w:t>
      </w:r>
      <w:r w:rsidR="004972F2" w:rsidRPr="00F95EDA">
        <w:rPr>
          <w:rFonts w:ascii="Arial" w:hAnsi="Arial" w:cs="Arial"/>
          <w:color w:val="000000" w:themeColor="text1"/>
          <w:sz w:val="16"/>
          <w:szCs w:val="16"/>
        </w:rPr>
        <w:t xml:space="preserve"> albuminuria </w:t>
      </w:r>
      <w:r w:rsidR="00E47A41" w:rsidRPr="00F95EDA">
        <w:rPr>
          <w:rFonts w:ascii="Arial" w:hAnsi="Arial" w:cs="Arial"/>
          <w:color w:val="000000" w:themeColor="text1"/>
          <w:sz w:val="16"/>
          <w:szCs w:val="16"/>
        </w:rPr>
        <w:t>precedes deteri</w:t>
      </w:r>
      <w:r w:rsidR="00566F36" w:rsidRPr="00F95EDA">
        <w:rPr>
          <w:rFonts w:ascii="Arial" w:hAnsi="Arial" w:cs="Arial"/>
          <w:color w:val="000000" w:themeColor="text1"/>
          <w:sz w:val="16"/>
          <w:szCs w:val="16"/>
        </w:rPr>
        <w:t>or</w:t>
      </w:r>
      <w:r w:rsidR="00E47A41" w:rsidRPr="00F95EDA">
        <w:rPr>
          <w:rFonts w:ascii="Arial" w:hAnsi="Arial" w:cs="Arial"/>
          <w:color w:val="000000" w:themeColor="text1"/>
          <w:sz w:val="16"/>
          <w:szCs w:val="16"/>
        </w:rPr>
        <w:t>ation</w:t>
      </w:r>
      <w:r w:rsidR="004972F2" w:rsidRPr="00F95EDA">
        <w:rPr>
          <w:rFonts w:ascii="Arial" w:hAnsi="Arial" w:cs="Arial"/>
          <w:color w:val="000000" w:themeColor="text1"/>
          <w:sz w:val="16"/>
          <w:szCs w:val="16"/>
        </w:rPr>
        <w:t xml:space="preserve"> </w:t>
      </w:r>
      <w:r w:rsidR="00566F36" w:rsidRPr="00F95EDA">
        <w:rPr>
          <w:rFonts w:ascii="Arial" w:hAnsi="Arial" w:cs="Arial"/>
          <w:color w:val="000000" w:themeColor="text1"/>
          <w:sz w:val="16"/>
          <w:szCs w:val="16"/>
        </w:rPr>
        <w:t xml:space="preserve">in </w:t>
      </w:r>
      <w:r w:rsidR="004972F2" w:rsidRPr="00F95EDA">
        <w:rPr>
          <w:rFonts w:ascii="Arial" w:hAnsi="Arial" w:cs="Arial"/>
          <w:color w:val="000000" w:themeColor="text1"/>
          <w:sz w:val="16"/>
          <w:szCs w:val="16"/>
        </w:rPr>
        <w:t xml:space="preserve">renal functional </w:t>
      </w:r>
      <w:r w:rsidR="00566F36" w:rsidRPr="00F95EDA">
        <w:rPr>
          <w:rFonts w:ascii="Arial" w:hAnsi="Arial" w:cs="Arial"/>
          <w:color w:val="000000" w:themeColor="text1"/>
          <w:sz w:val="16"/>
          <w:szCs w:val="16"/>
        </w:rPr>
        <w:t>as shown by decrease in</w:t>
      </w:r>
      <w:r w:rsidR="004972F2" w:rsidRPr="00F95EDA">
        <w:rPr>
          <w:rFonts w:ascii="Arial" w:hAnsi="Arial" w:cs="Arial"/>
          <w:color w:val="000000" w:themeColor="text1"/>
          <w:sz w:val="16"/>
          <w:szCs w:val="16"/>
        </w:rPr>
        <w:t xml:space="preserve"> GFR</w:t>
      </w:r>
      <w:r w:rsidR="00566F36" w:rsidRPr="00F95EDA">
        <w:rPr>
          <w:rFonts w:ascii="Arial" w:hAnsi="Arial" w:cs="Arial"/>
          <w:color w:val="000000" w:themeColor="text1"/>
          <w:sz w:val="16"/>
          <w:szCs w:val="16"/>
          <w:vertAlign w:val="superscript"/>
        </w:rPr>
        <w:t>2</w:t>
      </w:r>
      <w:r w:rsidR="00600FC8" w:rsidRPr="00F95EDA">
        <w:rPr>
          <w:rFonts w:ascii="Arial" w:hAnsi="Arial" w:cs="Arial"/>
          <w:color w:val="000000" w:themeColor="text1"/>
          <w:sz w:val="16"/>
          <w:szCs w:val="16"/>
        </w:rPr>
        <w:t>.</w:t>
      </w:r>
      <w:r w:rsidR="0092519F" w:rsidRPr="00F95EDA">
        <w:rPr>
          <w:rFonts w:ascii="Arial" w:hAnsi="Arial" w:cs="Arial"/>
          <w:color w:val="000000" w:themeColor="text1"/>
          <w:sz w:val="16"/>
          <w:szCs w:val="16"/>
        </w:rPr>
        <w:t xml:space="preserve"> </w:t>
      </w:r>
      <w:r w:rsidR="00E20F08" w:rsidRPr="00F95EDA">
        <w:rPr>
          <w:rFonts w:ascii="Arial" w:hAnsi="Arial" w:cs="Arial"/>
          <w:color w:val="000000" w:themeColor="text1"/>
          <w:sz w:val="16"/>
          <w:szCs w:val="16"/>
        </w:rPr>
        <w:t>Chronic kidney disease (CKD)</w:t>
      </w:r>
      <w:r w:rsidR="00E74323" w:rsidRPr="00F95EDA">
        <w:rPr>
          <w:rFonts w:ascii="Arial" w:hAnsi="Arial" w:cs="Arial"/>
          <w:color w:val="000000" w:themeColor="text1"/>
          <w:sz w:val="16"/>
          <w:szCs w:val="16"/>
        </w:rPr>
        <w:t xml:space="preserve"> is a common health issue in developing countries according to many epidemiological surveys</w:t>
      </w:r>
      <w:r w:rsidR="00DB3D8E" w:rsidRPr="00F95EDA">
        <w:rPr>
          <w:rFonts w:ascii="Arial" w:hAnsi="Arial" w:cs="Arial"/>
          <w:color w:val="000000" w:themeColor="text1"/>
          <w:sz w:val="16"/>
          <w:szCs w:val="16"/>
        </w:rPr>
        <w:t>.</w:t>
      </w:r>
      <w:r w:rsidR="00DB3D8E" w:rsidRPr="00F95EDA">
        <w:rPr>
          <w:rFonts w:ascii="Arial" w:hAnsi="Arial" w:cs="Arial"/>
          <w:color w:val="000000" w:themeColor="text1"/>
          <w:sz w:val="16"/>
          <w:szCs w:val="16"/>
          <w:lang w:bidi="he-IL"/>
        </w:rPr>
        <w:t xml:space="preserve"> </w:t>
      </w:r>
      <w:r w:rsidR="002C7EF8" w:rsidRPr="00F95EDA">
        <w:rPr>
          <w:rFonts w:ascii="Arial" w:hAnsi="Arial" w:cs="Arial"/>
          <w:color w:val="000000" w:themeColor="text1"/>
          <w:sz w:val="16"/>
          <w:szCs w:val="16"/>
          <w:lang w:bidi="he-IL"/>
        </w:rPr>
        <w:t xml:space="preserve">Unfortunately, according to one estimate, incidence of </w:t>
      </w:r>
      <w:r w:rsidR="00E83C36" w:rsidRPr="00F95EDA">
        <w:rPr>
          <w:rFonts w:ascii="Arial" w:hAnsi="Arial" w:cs="Arial"/>
          <w:color w:val="000000" w:themeColor="text1"/>
          <w:sz w:val="16"/>
          <w:szCs w:val="16"/>
          <w:lang w:bidi="he-IL"/>
        </w:rPr>
        <w:t xml:space="preserve">CKD is </w:t>
      </w:r>
      <w:r w:rsidR="002C7EF8" w:rsidRPr="00F95EDA">
        <w:rPr>
          <w:rFonts w:ascii="Arial" w:hAnsi="Arial" w:cs="Arial"/>
          <w:color w:val="000000" w:themeColor="text1"/>
          <w:sz w:val="16"/>
          <w:szCs w:val="16"/>
          <w:lang w:bidi="he-IL"/>
        </w:rPr>
        <w:t xml:space="preserve">14% </w:t>
      </w:r>
      <w:r w:rsidR="00E83C36" w:rsidRPr="00F95EDA">
        <w:rPr>
          <w:rFonts w:ascii="Arial" w:hAnsi="Arial" w:cs="Arial"/>
          <w:color w:val="000000" w:themeColor="text1"/>
          <w:sz w:val="16"/>
          <w:szCs w:val="16"/>
          <w:lang w:bidi="he-IL"/>
        </w:rPr>
        <w:t>among Pakistani population</w:t>
      </w:r>
      <w:r w:rsidR="002C7EF8" w:rsidRPr="00F95EDA">
        <w:rPr>
          <w:rFonts w:ascii="Arial" w:hAnsi="Arial" w:cs="Arial"/>
          <w:color w:val="000000" w:themeColor="text1"/>
          <w:sz w:val="16"/>
          <w:szCs w:val="16"/>
          <w:lang w:bidi="he-IL"/>
        </w:rPr>
        <w:t>, being highest in Punjab province</w:t>
      </w:r>
      <w:r w:rsidR="008E4364" w:rsidRPr="00F95EDA">
        <w:rPr>
          <w:rFonts w:ascii="Arial" w:hAnsi="Arial" w:cs="Arial"/>
          <w:color w:val="000000" w:themeColor="text1"/>
          <w:sz w:val="16"/>
          <w:szCs w:val="16"/>
          <w:lang w:bidi="he-IL"/>
        </w:rPr>
        <w:t xml:space="preserve"> followed by sindh</w:t>
      </w:r>
      <w:r w:rsidR="00BF79AA" w:rsidRPr="00F95EDA">
        <w:rPr>
          <w:rFonts w:ascii="Arial" w:hAnsi="Arial" w:cs="Arial"/>
          <w:color w:val="000000" w:themeColor="text1"/>
          <w:sz w:val="16"/>
          <w:szCs w:val="16"/>
          <w:vertAlign w:val="superscript"/>
          <w:lang w:bidi="he-IL"/>
        </w:rPr>
        <w:t>3</w:t>
      </w:r>
      <w:r w:rsidR="008E4364" w:rsidRPr="00F95EDA">
        <w:rPr>
          <w:rFonts w:ascii="Arial" w:hAnsi="Arial" w:cs="Arial"/>
          <w:color w:val="000000" w:themeColor="text1"/>
          <w:sz w:val="16"/>
          <w:szCs w:val="16"/>
          <w:vertAlign w:val="superscript"/>
          <w:lang w:bidi="he-IL"/>
        </w:rPr>
        <w:t>,4</w:t>
      </w:r>
      <w:r w:rsidR="00600FC8" w:rsidRPr="00F95EDA">
        <w:rPr>
          <w:rFonts w:ascii="Arial" w:hAnsi="Arial" w:cs="Arial"/>
          <w:color w:val="000000" w:themeColor="text1"/>
          <w:sz w:val="16"/>
          <w:szCs w:val="16"/>
          <w:lang w:bidi="he-IL"/>
        </w:rPr>
        <w:t>.</w:t>
      </w:r>
      <w:r w:rsidR="00237D72" w:rsidRPr="00F95EDA">
        <w:rPr>
          <w:rFonts w:ascii="Arial" w:hAnsi="Arial" w:cs="Arial"/>
          <w:color w:val="000000" w:themeColor="text1"/>
          <w:sz w:val="16"/>
          <w:szCs w:val="16"/>
          <w:lang w:bidi="he-IL"/>
        </w:rPr>
        <w:t xml:space="preserve"> </w:t>
      </w:r>
      <w:r w:rsidR="008E4364" w:rsidRPr="00F95EDA">
        <w:rPr>
          <w:rFonts w:ascii="Arial" w:hAnsi="Arial" w:cs="Arial"/>
          <w:color w:val="000000" w:themeColor="text1"/>
          <w:sz w:val="16"/>
          <w:szCs w:val="16"/>
        </w:rPr>
        <w:t xml:space="preserve">Literature review revealed that incidence of end stage renal disease according to age is </w:t>
      </w:r>
      <w:r w:rsidR="00285E19" w:rsidRPr="00F95EDA">
        <w:rPr>
          <w:rFonts w:ascii="Arial" w:hAnsi="Arial" w:cs="Arial"/>
          <w:color w:val="000000" w:themeColor="text1"/>
          <w:sz w:val="16"/>
          <w:szCs w:val="16"/>
        </w:rPr>
        <w:t>229 per million population</w:t>
      </w:r>
      <w:r w:rsidR="00C50603" w:rsidRPr="00F95EDA">
        <w:rPr>
          <w:rFonts w:ascii="Arial" w:hAnsi="Arial" w:cs="Arial"/>
          <w:color w:val="000000" w:themeColor="text1"/>
          <w:sz w:val="16"/>
          <w:szCs w:val="16"/>
        </w:rPr>
        <w:t xml:space="preserve"> while more than one lac patients/year receive </w:t>
      </w:r>
      <w:r w:rsidR="00285E19" w:rsidRPr="00F95EDA">
        <w:rPr>
          <w:rFonts w:ascii="Arial" w:hAnsi="Arial" w:cs="Arial"/>
          <w:color w:val="000000" w:themeColor="text1"/>
          <w:sz w:val="16"/>
          <w:szCs w:val="16"/>
        </w:rPr>
        <w:t xml:space="preserve">renal  replacement  </w:t>
      </w:r>
      <w:r w:rsidR="00C50603" w:rsidRPr="00F95EDA">
        <w:rPr>
          <w:rFonts w:ascii="Arial" w:hAnsi="Arial" w:cs="Arial"/>
          <w:color w:val="000000" w:themeColor="text1"/>
          <w:sz w:val="16"/>
          <w:szCs w:val="16"/>
        </w:rPr>
        <w:t>therapy</w:t>
      </w:r>
      <w:r w:rsidR="00285E19" w:rsidRPr="00F95EDA">
        <w:rPr>
          <w:rFonts w:ascii="Arial" w:hAnsi="Arial" w:cs="Arial"/>
          <w:color w:val="000000" w:themeColor="text1"/>
          <w:sz w:val="16"/>
          <w:szCs w:val="16"/>
        </w:rPr>
        <w:t xml:space="preserve">  in India.</w:t>
      </w:r>
      <w:r w:rsidR="00C50603" w:rsidRPr="00F95EDA">
        <w:rPr>
          <w:rFonts w:ascii="Arial" w:hAnsi="Arial" w:cs="Arial"/>
          <w:color w:val="000000" w:themeColor="text1"/>
          <w:sz w:val="16"/>
          <w:szCs w:val="16"/>
          <w:vertAlign w:val="superscript"/>
        </w:rPr>
        <w:t>5,</w:t>
      </w:r>
      <w:r w:rsidR="00285E19" w:rsidRPr="00F95EDA">
        <w:rPr>
          <w:rFonts w:ascii="Arial" w:hAnsi="Arial" w:cs="Arial"/>
          <w:color w:val="000000" w:themeColor="text1"/>
          <w:sz w:val="16"/>
          <w:szCs w:val="16"/>
          <w:vertAlign w:val="superscript"/>
        </w:rPr>
        <w:t>6</w:t>
      </w:r>
      <w:r w:rsidR="00285E19" w:rsidRPr="00F95EDA">
        <w:rPr>
          <w:rFonts w:ascii="Arial" w:hAnsi="Arial" w:cs="Arial"/>
          <w:color w:val="000000" w:themeColor="text1"/>
          <w:sz w:val="16"/>
          <w:szCs w:val="16"/>
        </w:rPr>
        <w:t xml:space="preserve"> </w:t>
      </w:r>
      <w:r w:rsidR="00345C13" w:rsidRPr="00F95EDA">
        <w:rPr>
          <w:rFonts w:ascii="Arial" w:hAnsi="Arial" w:cs="Arial"/>
          <w:color w:val="000000" w:themeColor="text1"/>
          <w:sz w:val="16"/>
          <w:szCs w:val="16"/>
          <w:lang w:bidi="he-IL"/>
        </w:rPr>
        <w:t>D</w:t>
      </w:r>
      <w:r w:rsidR="00F35D47" w:rsidRPr="00F95EDA">
        <w:rPr>
          <w:rFonts w:ascii="Arial" w:hAnsi="Arial" w:cs="Arial"/>
          <w:color w:val="000000" w:themeColor="text1"/>
          <w:sz w:val="16"/>
          <w:szCs w:val="16"/>
          <w:lang w:bidi="he-IL"/>
        </w:rPr>
        <w:t xml:space="preserve">iabetes and hypertension </w:t>
      </w:r>
      <w:r w:rsidR="00BF79AA" w:rsidRPr="00F95EDA">
        <w:rPr>
          <w:rFonts w:ascii="Arial" w:hAnsi="Arial" w:cs="Arial"/>
          <w:color w:val="000000" w:themeColor="text1"/>
          <w:sz w:val="16"/>
          <w:szCs w:val="16"/>
          <w:lang w:bidi="he-IL"/>
        </w:rPr>
        <w:t>are the silent killers of humans. They both affect kidneys and result in CKD later in life.</w:t>
      </w:r>
      <w:r w:rsidR="005D19C0" w:rsidRPr="00F95EDA">
        <w:rPr>
          <w:rFonts w:ascii="Arial" w:hAnsi="Arial" w:cs="Arial"/>
          <w:color w:val="000000" w:themeColor="text1"/>
          <w:sz w:val="16"/>
          <w:szCs w:val="16"/>
          <w:vertAlign w:val="superscript"/>
          <w:lang w:bidi="he-IL"/>
        </w:rPr>
        <w:t>5</w:t>
      </w:r>
      <w:r w:rsidR="00F35D47" w:rsidRPr="00F95EDA">
        <w:rPr>
          <w:rFonts w:ascii="Arial" w:hAnsi="Arial" w:cs="Arial"/>
          <w:color w:val="000000" w:themeColor="text1"/>
          <w:sz w:val="16"/>
          <w:szCs w:val="16"/>
        </w:rPr>
        <w:t xml:space="preserve"> Obesity</w:t>
      </w:r>
      <w:r w:rsidR="00B13CC3" w:rsidRPr="00F95EDA">
        <w:rPr>
          <w:rFonts w:ascii="Arial" w:hAnsi="Arial" w:cs="Arial"/>
          <w:color w:val="000000" w:themeColor="text1"/>
          <w:sz w:val="16"/>
          <w:szCs w:val="16"/>
        </w:rPr>
        <w:t xml:space="preserve"> is a mother cause of many diseases like </w:t>
      </w:r>
      <w:r w:rsidR="001668B0" w:rsidRPr="00F95EDA">
        <w:rPr>
          <w:rFonts w:ascii="Arial" w:hAnsi="Arial" w:cs="Arial"/>
          <w:color w:val="000000" w:themeColor="text1"/>
          <w:sz w:val="16"/>
          <w:szCs w:val="16"/>
        </w:rPr>
        <w:t>diabetes</w:t>
      </w:r>
      <w:r w:rsidR="00B13CC3" w:rsidRPr="00F95EDA">
        <w:rPr>
          <w:rFonts w:ascii="Arial" w:hAnsi="Arial" w:cs="Arial"/>
          <w:color w:val="000000" w:themeColor="text1"/>
          <w:sz w:val="16"/>
          <w:szCs w:val="16"/>
        </w:rPr>
        <w:t xml:space="preserve"> and hypertension thus increases </w:t>
      </w:r>
      <w:r w:rsidR="00F35D47" w:rsidRPr="00F95EDA">
        <w:rPr>
          <w:rFonts w:ascii="Arial" w:hAnsi="Arial" w:cs="Arial"/>
          <w:color w:val="000000" w:themeColor="text1"/>
          <w:sz w:val="16"/>
          <w:szCs w:val="16"/>
        </w:rPr>
        <w:t xml:space="preserve">CKD </w:t>
      </w:r>
      <w:r w:rsidR="00B13CC3" w:rsidRPr="00F95EDA">
        <w:rPr>
          <w:rFonts w:ascii="Arial" w:hAnsi="Arial" w:cs="Arial"/>
          <w:color w:val="000000" w:themeColor="text1"/>
          <w:sz w:val="16"/>
          <w:szCs w:val="16"/>
        </w:rPr>
        <w:t>chances among</w:t>
      </w:r>
      <w:r w:rsidR="00F35D47" w:rsidRPr="00F95EDA">
        <w:rPr>
          <w:rFonts w:ascii="Arial" w:hAnsi="Arial" w:cs="Arial"/>
          <w:color w:val="000000" w:themeColor="text1"/>
          <w:sz w:val="16"/>
          <w:szCs w:val="16"/>
        </w:rPr>
        <w:t xml:space="preserve"> patients </w:t>
      </w:r>
      <w:r w:rsidR="00B13CC3" w:rsidRPr="00F95EDA">
        <w:rPr>
          <w:rFonts w:ascii="Arial" w:hAnsi="Arial" w:cs="Arial"/>
          <w:color w:val="000000" w:themeColor="text1"/>
          <w:sz w:val="16"/>
          <w:szCs w:val="16"/>
        </w:rPr>
        <w:t xml:space="preserve">and ultimately cause </w:t>
      </w:r>
      <w:r w:rsidR="00F35D47" w:rsidRPr="00F95EDA">
        <w:rPr>
          <w:rFonts w:ascii="Arial" w:hAnsi="Arial" w:cs="Arial"/>
          <w:color w:val="000000" w:themeColor="text1"/>
          <w:sz w:val="16"/>
          <w:szCs w:val="16"/>
        </w:rPr>
        <w:t>glomerulosclerosis.</w:t>
      </w:r>
      <w:r w:rsidR="008A7B18" w:rsidRPr="00F95EDA">
        <w:rPr>
          <w:rFonts w:ascii="Arial" w:hAnsi="Arial" w:cs="Arial"/>
          <w:color w:val="000000" w:themeColor="text1"/>
          <w:sz w:val="16"/>
          <w:szCs w:val="16"/>
          <w:vertAlign w:val="superscript"/>
        </w:rPr>
        <w:t xml:space="preserve"> </w:t>
      </w:r>
      <w:r w:rsidR="00A85F81" w:rsidRPr="00F95EDA">
        <w:rPr>
          <w:rFonts w:ascii="Arial" w:hAnsi="Arial" w:cs="Arial"/>
          <w:color w:val="000000" w:themeColor="text1"/>
          <w:sz w:val="16"/>
          <w:szCs w:val="16"/>
        </w:rPr>
        <w:t>F</w:t>
      </w:r>
      <w:r w:rsidR="008A7B18" w:rsidRPr="00F95EDA">
        <w:rPr>
          <w:rFonts w:ascii="Arial" w:hAnsi="Arial" w:cs="Arial"/>
          <w:color w:val="000000" w:themeColor="text1"/>
          <w:sz w:val="16"/>
          <w:szCs w:val="16"/>
        </w:rPr>
        <w:t>actors that cause renal injury include nephrotoxic drugs, alcohol, male gender and high protein diet</w:t>
      </w:r>
      <w:r w:rsidR="00A85F81" w:rsidRPr="00F95EDA">
        <w:rPr>
          <w:rFonts w:ascii="Arial" w:hAnsi="Arial" w:cs="Arial"/>
          <w:color w:val="000000" w:themeColor="text1"/>
          <w:sz w:val="16"/>
          <w:szCs w:val="16"/>
          <w:vertAlign w:val="superscript"/>
        </w:rPr>
        <w:t>7</w:t>
      </w:r>
      <w:r w:rsidR="003E6C60" w:rsidRPr="00F95EDA">
        <w:rPr>
          <w:rFonts w:ascii="Arial" w:hAnsi="Arial" w:cs="Arial"/>
          <w:color w:val="000000" w:themeColor="text1"/>
          <w:sz w:val="16"/>
          <w:szCs w:val="16"/>
        </w:rPr>
        <w:t>.</w:t>
      </w:r>
    </w:p>
    <w:p w:rsidR="001E35CE" w:rsidRPr="00F95EDA" w:rsidRDefault="00670F2A" w:rsidP="003E6C60">
      <w:pPr>
        <w:spacing w:after="0" w:line="240" w:lineRule="auto"/>
        <w:ind w:firstLine="432"/>
        <w:jc w:val="both"/>
        <w:rPr>
          <w:rFonts w:ascii="Arial" w:hAnsi="Arial" w:cs="Arial"/>
          <w:color w:val="000000" w:themeColor="text1"/>
          <w:sz w:val="16"/>
          <w:szCs w:val="16"/>
        </w:rPr>
      </w:pPr>
      <w:r w:rsidRPr="00F95EDA">
        <w:rPr>
          <w:rFonts w:ascii="Arial" w:hAnsi="Arial" w:cs="Arial"/>
          <w:color w:val="000000" w:themeColor="text1"/>
          <w:sz w:val="16"/>
          <w:szCs w:val="16"/>
        </w:rPr>
        <w:t xml:space="preserve">CKD is a progressive and irreversible disease that result in loss of nephron function due to renal vasculature alterations and cell fibrosis. </w:t>
      </w:r>
      <w:r w:rsidR="00AE0708" w:rsidRPr="00F95EDA">
        <w:rPr>
          <w:rFonts w:ascii="Arial" w:hAnsi="Arial" w:cs="Arial"/>
          <w:color w:val="000000" w:themeColor="text1"/>
          <w:sz w:val="16"/>
          <w:szCs w:val="16"/>
        </w:rPr>
        <w:t>Previous study revealed that u</w:t>
      </w:r>
      <w:r w:rsidRPr="00F95EDA">
        <w:rPr>
          <w:rFonts w:ascii="Arial" w:hAnsi="Arial" w:cs="Arial"/>
          <w:color w:val="000000" w:themeColor="text1"/>
          <w:sz w:val="16"/>
          <w:szCs w:val="16"/>
        </w:rPr>
        <w:t xml:space="preserve">remic signs and symptoms </w:t>
      </w:r>
      <w:r w:rsidR="00AE0708" w:rsidRPr="00F95EDA">
        <w:rPr>
          <w:rFonts w:ascii="Arial" w:hAnsi="Arial" w:cs="Arial"/>
          <w:color w:val="000000" w:themeColor="text1"/>
          <w:sz w:val="16"/>
          <w:szCs w:val="16"/>
        </w:rPr>
        <w:t>appear</w:t>
      </w:r>
      <w:r w:rsidRPr="00F95EDA">
        <w:rPr>
          <w:rFonts w:ascii="Arial" w:hAnsi="Arial" w:cs="Arial"/>
          <w:color w:val="000000" w:themeColor="text1"/>
          <w:sz w:val="16"/>
          <w:szCs w:val="16"/>
        </w:rPr>
        <w:t xml:space="preserve"> when at least two third of </w:t>
      </w:r>
      <w:r w:rsidR="00AE0708" w:rsidRPr="00F95EDA">
        <w:rPr>
          <w:rFonts w:ascii="Arial" w:hAnsi="Arial" w:cs="Arial"/>
          <w:color w:val="000000" w:themeColor="text1"/>
          <w:sz w:val="16"/>
          <w:szCs w:val="16"/>
        </w:rPr>
        <w:t>kidney function is lost</w:t>
      </w:r>
      <w:r w:rsidR="00AE0708" w:rsidRPr="00F95EDA">
        <w:rPr>
          <w:rFonts w:ascii="Arial" w:hAnsi="Arial" w:cs="Arial"/>
          <w:color w:val="000000" w:themeColor="text1"/>
          <w:sz w:val="16"/>
          <w:szCs w:val="16"/>
          <w:vertAlign w:val="superscript"/>
        </w:rPr>
        <w:t>8</w:t>
      </w:r>
      <w:r w:rsidR="00600FC8" w:rsidRPr="00F95EDA">
        <w:rPr>
          <w:rFonts w:ascii="Arial" w:hAnsi="Arial" w:cs="Arial"/>
          <w:color w:val="000000" w:themeColor="text1"/>
          <w:sz w:val="16"/>
          <w:szCs w:val="16"/>
        </w:rPr>
        <w:t>.</w:t>
      </w:r>
      <w:r w:rsidR="009A16C1" w:rsidRPr="00F95EDA">
        <w:rPr>
          <w:rFonts w:ascii="Arial" w:hAnsi="Arial" w:cs="Arial"/>
          <w:color w:val="000000" w:themeColor="text1"/>
          <w:sz w:val="16"/>
          <w:szCs w:val="16"/>
          <w:vertAlign w:val="superscript"/>
        </w:rPr>
        <w:t xml:space="preserve"> </w:t>
      </w:r>
      <w:r w:rsidR="001E35CE" w:rsidRPr="00F95EDA">
        <w:rPr>
          <w:rFonts w:ascii="Arial" w:hAnsi="Arial" w:cs="Arial"/>
          <w:color w:val="000000" w:themeColor="text1"/>
          <w:sz w:val="16"/>
          <w:szCs w:val="16"/>
        </w:rPr>
        <w:t xml:space="preserve">Literature has shown that patients having End-Stage Renal Disease die early and have short life span. One study estimated that </w:t>
      </w:r>
      <w:r w:rsidR="002F2DE4" w:rsidRPr="00F95EDA">
        <w:rPr>
          <w:rFonts w:ascii="Arial" w:hAnsi="Arial" w:cs="Arial"/>
          <w:color w:val="000000" w:themeColor="text1"/>
          <w:sz w:val="16"/>
          <w:szCs w:val="16"/>
        </w:rPr>
        <w:t>221/1000 patients on dialysis die annually with 20% deaths contributed by cardiac issues among renal patients</w:t>
      </w:r>
      <w:r w:rsidR="001D70D6" w:rsidRPr="00F95EDA">
        <w:rPr>
          <w:rFonts w:ascii="Arial" w:hAnsi="Arial" w:cs="Arial"/>
          <w:color w:val="000000" w:themeColor="text1"/>
          <w:sz w:val="16"/>
          <w:szCs w:val="16"/>
          <w:vertAlign w:val="superscript"/>
        </w:rPr>
        <w:t>8</w:t>
      </w:r>
      <w:r w:rsidR="009A16C1" w:rsidRPr="00F95EDA">
        <w:rPr>
          <w:rFonts w:ascii="Arial" w:hAnsi="Arial" w:cs="Arial"/>
          <w:color w:val="000000" w:themeColor="text1"/>
          <w:sz w:val="16"/>
          <w:szCs w:val="16"/>
          <w:vertAlign w:val="superscript"/>
        </w:rPr>
        <w:t>,9</w:t>
      </w:r>
      <w:r w:rsidR="00600FC8" w:rsidRPr="00F95EDA">
        <w:rPr>
          <w:rFonts w:ascii="Arial" w:hAnsi="Arial" w:cs="Arial"/>
          <w:color w:val="000000" w:themeColor="text1"/>
          <w:sz w:val="16"/>
          <w:szCs w:val="16"/>
        </w:rPr>
        <w:t>.</w:t>
      </w:r>
    </w:p>
    <w:p w:rsidR="001401FA" w:rsidRPr="00F95EDA" w:rsidRDefault="00CE78A8" w:rsidP="003E6C60">
      <w:pPr>
        <w:spacing w:after="0" w:line="240" w:lineRule="auto"/>
        <w:ind w:firstLine="432"/>
        <w:jc w:val="both"/>
        <w:rPr>
          <w:rFonts w:ascii="Arial" w:hAnsi="Arial" w:cs="Arial"/>
          <w:color w:val="000000" w:themeColor="text1"/>
          <w:sz w:val="16"/>
          <w:szCs w:val="16"/>
        </w:rPr>
      </w:pPr>
      <w:r w:rsidRPr="00F95EDA">
        <w:rPr>
          <w:rFonts w:ascii="Arial" w:hAnsi="Arial" w:cs="Arial"/>
          <w:color w:val="000000" w:themeColor="text1"/>
          <w:sz w:val="16"/>
          <w:szCs w:val="16"/>
        </w:rPr>
        <w:t>Left ventricular hypertrophy</w:t>
      </w:r>
      <w:r w:rsidR="001512DF" w:rsidRPr="00F95EDA">
        <w:rPr>
          <w:rFonts w:ascii="Arial" w:hAnsi="Arial" w:cs="Arial"/>
          <w:color w:val="000000" w:themeColor="text1"/>
          <w:sz w:val="16"/>
          <w:szCs w:val="16"/>
        </w:rPr>
        <w:t xml:space="preserve"> (25-70%)</w:t>
      </w:r>
      <w:r w:rsidRPr="00F95EDA">
        <w:rPr>
          <w:rFonts w:ascii="Arial" w:hAnsi="Arial" w:cs="Arial"/>
          <w:color w:val="000000" w:themeColor="text1"/>
          <w:sz w:val="16"/>
          <w:szCs w:val="16"/>
        </w:rPr>
        <w:t xml:space="preserve"> is the most common cardiac event associated with chronic kidney disease</w:t>
      </w:r>
      <w:r w:rsidR="00B21177" w:rsidRPr="00F95EDA">
        <w:rPr>
          <w:rFonts w:ascii="Arial" w:hAnsi="Arial" w:cs="Arial"/>
          <w:color w:val="000000" w:themeColor="text1"/>
          <w:sz w:val="16"/>
          <w:szCs w:val="16"/>
          <w:vertAlign w:val="superscript"/>
        </w:rPr>
        <w:t>8</w:t>
      </w:r>
      <w:r w:rsidR="00600FC8" w:rsidRPr="00F95EDA">
        <w:rPr>
          <w:rFonts w:ascii="Arial" w:hAnsi="Arial" w:cs="Arial"/>
          <w:color w:val="000000" w:themeColor="text1"/>
          <w:sz w:val="16"/>
          <w:szCs w:val="16"/>
        </w:rPr>
        <w:t>.</w:t>
      </w:r>
      <w:r w:rsidR="00124472" w:rsidRPr="00F95EDA">
        <w:rPr>
          <w:rFonts w:ascii="Arial" w:hAnsi="Arial" w:cs="Arial"/>
          <w:color w:val="000000" w:themeColor="text1"/>
          <w:sz w:val="16"/>
          <w:szCs w:val="16"/>
        </w:rPr>
        <w:t xml:space="preserve"> </w:t>
      </w:r>
      <w:r w:rsidR="00EF088B" w:rsidRPr="00F95EDA">
        <w:rPr>
          <w:rFonts w:ascii="Arial" w:hAnsi="Arial" w:cs="Arial"/>
          <w:color w:val="000000" w:themeColor="text1"/>
          <w:sz w:val="16"/>
          <w:szCs w:val="16"/>
        </w:rPr>
        <w:t>A</w:t>
      </w:r>
      <w:r w:rsidR="001E165F" w:rsidRPr="00F95EDA">
        <w:rPr>
          <w:rFonts w:ascii="Arial" w:hAnsi="Arial" w:cs="Arial"/>
          <w:color w:val="000000" w:themeColor="text1"/>
          <w:sz w:val="16"/>
          <w:szCs w:val="16"/>
        </w:rPr>
        <w:t>n association between c</w:t>
      </w:r>
      <w:r w:rsidR="00E61B02" w:rsidRPr="00F95EDA">
        <w:rPr>
          <w:rFonts w:ascii="Arial" w:hAnsi="Arial" w:cs="Arial"/>
          <w:color w:val="000000" w:themeColor="text1"/>
          <w:sz w:val="16"/>
          <w:szCs w:val="16"/>
        </w:rPr>
        <w:t xml:space="preserve">ardiac and </w:t>
      </w:r>
      <w:r w:rsidR="001E165F" w:rsidRPr="00F95EDA">
        <w:rPr>
          <w:rFonts w:ascii="Arial" w:hAnsi="Arial" w:cs="Arial"/>
          <w:color w:val="000000" w:themeColor="text1"/>
          <w:sz w:val="16"/>
          <w:szCs w:val="16"/>
        </w:rPr>
        <w:t>kidney functions</w:t>
      </w:r>
      <w:r w:rsidR="00EF088B" w:rsidRPr="00F95EDA">
        <w:rPr>
          <w:rFonts w:ascii="Arial" w:hAnsi="Arial" w:cs="Arial"/>
          <w:color w:val="000000" w:themeColor="text1"/>
          <w:sz w:val="16"/>
          <w:szCs w:val="16"/>
        </w:rPr>
        <w:t xml:space="preserve"> exit</w:t>
      </w:r>
      <w:r w:rsidR="001E165F" w:rsidRPr="00F95EDA">
        <w:rPr>
          <w:rFonts w:ascii="Arial" w:hAnsi="Arial" w:cs="Arial"/>
          <w:color w:val="000000" w:themeColor="text1"/>
          <w:sz w:val="16"/>
          <w:szCs w:val="16"/>
        </w:rPr>
        <w:t xml:space="preserve">. </w:t>
      </w:r>
      <w:r w:rsidR="00EF088B" w:rsidRPr="00F95EDA">
        <w:rPr>
          <w:rFonts w:ascii="Arial" w:hAnsi="Arial" w:cs="Arial"/>
          <w:color w:val="000000" w:themeColor="text1"/>
          <w:sz w:val="16"/>
          <w:szCs w:val="16"/>
        </w:rPr>
        <w:t xml:space="preserve">Any pathology involving heart or kidney usually results in </w:t>
      </w:r>
      <w:r w:rsidR="001E165F" w:rsidRPr="00F95EDA">
        <w:rPr>
          <w:rFonts w:ascii="Arial" w:hAnsi="Arial" w:cs="Arial"/>
          <w:color w:val="000000" w:themeColor="text1"/>
          <w:sz w:val="16"/>
          <w:szCs w:val="16"/>
        </w:rPr>
        <w:t>c</w:t>
      </w:r>
      <w:r w:rsidR="00E61B02" w:rsidRPr="00F95EDA">
        <w:rPr>
          <w:rFonts w:ascii="Arial" w:hAnsi="Arial" w:cs="Arial"/>
          <w:color w:val="000000" w:themeColor="text1"/>
          <w:sz w:val="16"/>
          <w:szCs w:val="16"/>
        </w:rPr>
        <w:t>ardio</w:t>
      </w:r>
      <w:r w:rsidR="001E165F" w:rsidRPr="00F95EDA">
        <w:rPr>
          <w:rFonts w:ascii="Arial" w:hAnsi="Arial" w:cs="Arial"/>
          <w:color w:val="000000" w:themeColor="text1"/>
          <w:sz w:val="16"/>
          <w:szCs w:val="16"/>
        </w:rPr>
        <w:t>-</w:t>
      </w:r>
      <w:r w:rsidR="00E61B02" w:rsidRPr="00F95EDA">
        <w:rPr>
          <w:rFonts w:ascii="Arial" w:hAnsi="Arial" w:cs="Arial"/>
          <w:color w:val="000000" w:themeColor="text1"/>
          <w:sz w:val="16"/>
          <w:szCs w:val="16"/>
        </w:rPr>
        <w:t>renal Syndrome (CRS)</w:t>
      </w:r>
      <w:r w:rsidR="00EC688F" w:rsidRPr="00F95EDA">
        <w:rPr>
          <w:rFonts w:ascii="Arial" w:hAnsi="Arial" w:cs="Arial"/>
          <w:color w:val="000000" w:themeColor="text1"/>
          <w:sz w:val="16"/>
          <w:szCs w:val="16"/>
          <w:vertAlign w:val="superscript"/>
        </w:rPr>
        <w:t>10</w:t>
      </w:r>
      <w:r w:rsidR="00E94244" w:rsidRPr="00F95EDA">
        <w:rPr>
          <w:rFonts w:ascii="Arial" w:hAnsi="Arial" w:cs="Arial"/>
          <w:color w:val="000000" w:themeColor="text1"/>
          <w:sz w:val="16"/>
          <w:szCs w:val="16"/>
        </w:rPr>
        <w:t>.</w:t>
      </w:r>
      <w:r w:rsidR="00E61B02" w:rsidRPr="00F95EDA">
        <w:rPr>
          <w:rFonts w:ascii="Arial" w:hAnsi="Arial" w:cs="Arial"/>
          <w:color w:val="000000" w:themeColor="text1"/>
          <w:sz w:val="16"/>
          <w:szCs w:val="16"/>
        </w:rPr>
        <w:t xml:space="preserve"> </w:t>
      </w:r>
      <w:r w:rsidR="00562092" w:rsidRPr="00F95EDA">
        <w:rPr>
          <w:rFonts w:ascii="Arial" w:hAnsi="Arial" w:cs="Arial"/>
          <w:color w:val="000000" w:themeColor="text1"/>
          <w:sz w:val="16"/>
          <w:szCs w:val="16"/>
        </w:rPr>
        <w:t>Pathological f</w:t>
      </w:r>
      <w:r w:rsidR="002D3277" w:rsidRPr="00F95EDA">
        <w:rPr>
          <w:rFonts w:ascii="Arial" w:hAnsi="Arial" w:cs="Arial"/>
          <w:color w:val="000000" w:themeColor="text1"/>
          <w:sz w:val="16"/>
          <w:szCs w:val="16"/>
        </w:rPr>
        <w:t>actor</w:t>
      </w:r>
      <w:r w:rsidR="00373DDF" w:rsidRPr="00F95EDA">
        <w:rPr>
          <w:rFonts w:ascii="Arial" w:hAnsi="Arial" w:cs="Arial"/>
          <w:color w:val="000000" w:themeColor="text1"/>
          <w:sz w:val="16"/>
          <w:szCs w:val="16"/>
        </w:rPr>
        <w:t>s</w:t>
      </w:r>
      <w:r w:rsidR="00562092" w:rsidRPr="00F95EDA">
        <w:rPr>
          <w:rFonts w:ascii="Arial" w:hAnsi="Arial" w:cs="Arial"/>
          <w:color w:val="000000" w:themeColor="text1"/>
          <w:sz w:val="16"/>
          <w:szCs w:val="16"/>
        </w:rPr>
        <w:t xml:space="preserve"> like inflammation along-with </w:t>
      </w:r>
      <w:r w:rsidR="002D3277" w:rsidRPr="00F95EDA">
        <w:rPr>
          <w:rFonts w:ascii="Arial" w:hAnsi="Arial" w:cs="Arial"/>
          <w:color w:val="000000" w:themeColor="text1"/>
          <w:sz w:val="16"/>
          <w:szCs w:val="16"/>
        </w:rPr>
        <w:t>increased fibrinogen</w:t>
      </w:r>
      <w:r w:rsidR="00562092" w:rsidRPr="00F95EDA">
        <w:rPr>
          <w:rFonts w:ascii="Arial" w:hAnsi="Arial" w:cs="Arial"/>
          <w:color w:val="000000" w:themeColor="text1"/>
          <w:sz w:val="16"/>
          <w:szCs w:val="16"/>
        </w:rPr>
        <w:t xml:space="preserve"> levels</w:t>
      </w:r>
      <w:r w:rsidR="002D3277" w:rsidRPr="00F95EDA">
        <w:rPr>
          <w:rFonts w:ascii="Arial" w:hAnsi="Arial" w:cs="Arial"/>
          <w:color w:val="000000" w:themeColor="text1"/>
          <w:sz w:val="16"/>
          <w:szCs w:val="16"/>
        </w:rPr>
        <w:t xml:space="preserve"> </w:t>
      </w:r>
      <w:r w:rsidR="00373DDF" w:rsidRPr="00F95EDA">
        <w:rPr>
          <w:rFonts w:ascii="Arial" w:hAnsi="Arial" w:cs="Arial"/>
          <w:color w:val="000000" w:themeColor="text1"/>
          <w:sz w:val="16"/>
          <w:szCs w:val="16"/>
        </w:rPr>
        <w:t xml:space="preserve">due to </w:t>
      </w:r>
      <w:r w:rsidR="00562092" w:rsidRPr="00F95EDA">
        <w:rPr>
          <w:rFonts w:ascii="Arial" w:hAnsi="Arial" w:cs="Arial"/>
          <w:color w:val="000000" w:themeColor="text1"/>
          <w:sz w:val="16"/>
          <w:szCs w:val="16"/>
        </w:rPr>
        <w:t>decreased</w:t>
      </w:r>
      <w:r w:rsidR="001512DF" w:rsidRPr="00F95EDA">
        <w:rPr>
          <w:rFonts w:ascii="Arial" w:hAnsi="Arial" w:cs="Arial"/>
          <w:color w:val="000000" w:themeColor="text1"/>
          <w:sz w:val="16"/>
          <w:szCs w:val="16"/>
        </w:rPr>
        <w:t xml:space="preserve"> renal functions </w:t>
      </w:r>
      <w:r w:rsidR="00562092" w:rsidRPr="00F95EDA">
        <w:rPr>
          <w:rFonts w:ascii="Arial" w:hAnsi="Arial" w:cs="Arial"/>
          <w:color w:val="000000" w:themeColor="text1"/>
          <w:sz w:val="16"/>
          <w:szCs w:val="16"/>
        </w:rPr>
        <w:t>raises</w:t>
      </w:r>
      <w:r w:rsidR="002D3277" w:rsidRPr="00F95EDA">
        <w:rPr>
          <w:rFonts w:ascii="Arial" w:hAnsi="Arial" w:cs="Arial"/>
          <w:color w:val="000000" w:themeColor="text1"/>
          <w:sz w:val="16"/>
          <w:szCs w:val="16"/>
        </w:rPr>
        <w:t xml:space="preserve"> </w:t>
      </w:r>
      <w:r w:rsidR="00373DDF" w:rsidRPr="00F95EDA">
        <w:rPr>
          <w:rFonts w:ascii="Arial" w:hAnsi="Arial" w:cs="Arial"/>
          <w:color w:val="000000" w:themeColor="text1"/>
          <w:sz w:val="16"/>
          <w:szCs w:val="16"/>
        </w:rPr>
        <w:t>the risk for cardio-vascular disease</w:t>
      </w:r>
      <w:r w:rsidR="00F1127C" w:rsidRPr="00F95EDA">
        <w:rPr>
          <w:rFonts w:ascii="Arial" w:hAnsi="Arial" w:cs="Arial"/>
          <w:color w:val="000000" w:themeColor="text1"/>
          <w:sz w:val="16"/>
          <w:szCs w:val="16"/>
          <w:vertAlign w:val="superscript"/>
        </w:rPr>
        <w:t>9</w:t>
      </w:r>
      <w:r w:rsidR="003E6C60" w:rsidRPr="00F95EDA">
        <w:rPr>
          <w:rFonts w:ascii="Arial" w:hAnsi="Arial" w:cs="Arial"/>
          <w:color w:val="000000" w:themeColor="text1"/>
          <w:sz w:val="16"/>
          <w:szCs w:val="16"/>
        </w:rPr>
        <w:t>.</w:t>
      </w:r>
    </w:p>
    <w:p w:rsidR="00E94244" w:rsidRPr="00F95EDA" w:rsidRDefault="00CF5D2C" w:rsidP="003E6C60">
      <w:pPr>
        <w:spacing w:after="0" w:line="240" w:lineRule="auto"/>
        <w:ind w:firstLine="432"/>
        <w:jc w:val="both"/>
        <w:rPr>
          <w:rFonts w:ascii="Arial" w:hAnsi="Arial" w:cs="Arial"/>
          <w:color w:val="000000" w:themeColor="text1"/>
          <w:sz w:val="16"/>
          <w:szCs w:val="16"/>
        </w:rPr>
      </w:pPr>
      <w:r w:rsidRPr="00F95EDA">
        <w:rPr>
          <w:rFonts w:ascii="Arial" w:hAnsi="Arial" w:cs="Arial"/>
          <w:color w:val="000000" w:themeColor="text1"/>
          <w:sz w:val="16"/>
          <w:szCs w:val="16"/>
        </w:rPr>
        <w:t>Previous studies revealed</w:t>
      </w:r>
      <w:r w:rsidR="001534AF" w:rsidRPr="00F95EDA">
        <w:rPr>
          <w:rFonts w:ascii="Arial" w:hAnsi="Arial" w:cs="Arial"/>
          <w:color w:val="000000" w:themeColor="text1"/>
          <w:sz w:val="16"/>
          <w:szCs w:val="16"/>
        </w:rPr>
        <w:t xml:space="preserve"> that </w:t>
      </w:r>
      <w:r w:rsidR="00803189" w:rsidRPr="00F95EDA">
        <w:rPr>
          <w:rFonts w:ascii="Arial" w:hAnsi="Arial" w:cs="Arial"/>
          <w:color w:val="000000" w:themeColor="text1"/>
          <w:sz w:val="16"/>
          <w:szCs w:val="16"/>
        </w:rPr>
        <w:t>Sokolow Lyon index</w:t>
      </w:r>
      <w:r w:rsidR="00001BBC" w:rsidRPr="00F95EDA">
        <w:rPr>
          <w:rFonts w:ascii="Arial" w:hAnsi="Arial" w:cs="Arial"/>
          <w:color w:val="000000" w:themeColor="text1"/>
          <w:sz w:val="16"/>
          <w:szCs w:val="16"/>
        </w:rPr>
        <w:t xml:space="preserve"> </w:t>
      </w:r>
      <w:r w:rsidR="00803189" w:rsidRPr="00F95EDA">
        <w:rPr>
          <w:rFonts w:ascii="Arial" w:hAnsi="Arial" w:cs="Arial"/>
          <w:color w:val="000000" w:themeColor="text1"/>
          <w:sz w:val="16"/>
          <w:szCs w:val="16"/>
        </w:rPr>
        <w:t xml:space="preserve">has </w:t>
      </w:r>
      <w:r w:rsidRPr="00F95EDA">
        <w:rPr>
          <w:rFonts w:ascii="Arial" w:hAnsi="Arial" w:cs="Arial"/>
          <w:color w:val="000000" w:themeColor="text1"/>
          <w:sz w:val="16"/>
          <w:szCs w:val="16"/>
        </w:rPr>
        <w:t>a high (</w:t>
      </w:r>
      <w:r w:rsidR="00D714CB" w:rsidRPr="00F95EDA">
        <w:rPr>
          <w:rFonts w:ascii="Arial" w:hAnsi="Arial" w:cs="Arial"/>
          <w:color w:val="000000" w:themeColor="text1"/>
          <w:sz w:val="16"/>
          <w:szCs w:val="16"/>
        </w:rPr>
        <w:t>90%</w:t>
      </w:r>
      <w:r w:rsidRPr="00F95EDA">
        <w:rPr>
          <w:rFonts w:ascii="Arial" w:hAnsi="Arial" w:cs="Arial"/>
          <w:color w:val="000000" w:themeColor="text1"/>
          <w:sz w:val="16"/>
          <w:szCs w:val="16"/>
        </w:rPr>
        <w:t>)</w:t>
      </w:r>
      <w:r w:rsidR="00D714CB" w:rsidRPr="00F95EDA">
        <w:rPr>
          <w:rFonts w:ascii="Arial" w:hAnsi="Arial" w:cs="Arial"/>
          <w:color w:val="000000" w:themeColor="text1"/>
          <w:sz w:val="16"/>
          <w:szCs w:val="16"/>
        </w:rPr>
        <w:t xml:space="preserve"> specificity with</w:t>
      </w:r>
      <w:r w:rsidRPr="00F95EDA">
        <w:rPr>
          <w:rFonts w:ascii="Arial" w:hAnsi="Arial" w:cs="Arial"/>
          <w:color w:val="000000" w:themeColor="text1"/>
          <w:sz w:val="16"/>
          <w:szCs w:val="16"/>
        </w:rPr>
        <w:t xml:space="preserve"> low (</w:t>
      </w:r>
      <w:r w:rsidR="00D714CB" w:rsidRPr="00F95EDA">
        <w:rPr>
          <w:rFonts w:ascii="Arial" w:hAnsi="Arial" w:cs="Arial"/>
          <w:color w:val="000000" w:themeColor="text1"/>
          <w:sz w:val="16"/>
          <w:szCs w:val="16"/>
        </w:rPr>
        <w:t>40%</w:t>
      </w:r>
      <w:r w:rsidRPr="00F95EDA">
        <w:rPr>
          <w:rFonts w:ascii="Arial" w:hAnsi="Arial" w:cs="Arial"/>
          <w:color w:val="000000" w:themeColor="text1"/>
          <w:sz w:val="16"/>
          <w:szCs w:val="16"/>
        </w:rPr>
        <w:t>)</w:t>
      </w:r>
      <w:r w:rsidR="00803189" w:rsidRPr="00F95EDA">
        <w:rPr>
          <w:rFonts w:ascii="Arial" w:hAnsi="Arial" w:cs="Arial"/>
          <w:color w:val="000000" w:themeColor="text1"/>
          <w:sz w:val="16"/>
          <w:szCs w:val="16"/>
        </w:rPr>
        <w:t xml:space="preserve"> sensitivity </w:t>
      </w:r>
      <w:r w:rsidR="001534AF" w:rsidRPr="00F95EDA">
        <w:rPr>
          <w:rFonts w:ascii="Arial" w:hAnsi="Arial" w:cs="Arial"/>
          <w:color w:val="000000" w:themeColor="text1"/>
          <w:sz w:val="16"/>
          <w:szCs w:val="16"/>
        </w:rPr>
        <w:t xml:space="preserve">for </w:t>
      </w:r>
      <w:r w:rsidRPr="00F95EDA">
        <w:rPr>
          <w:rFonts w:ascii="Arial" w:hAnsi="Arial" w:cs="Arial"/>
          <w:color w:val="000000" w:themeColor="text1"/>
          <w:sz w:val="16"/>
          <w:szCs w:val="16"/>
        </w:rPr>
        <w:t xml:space="preserve">detecting </w:t>
      </w:r>
      <w:r w:rsidR="00E94244" w:rsidRPr="00F95EDA">
        <w:rPr>
          <w:rFonts w:ascii="Arial" w:hAnsi="Arial" w:cs="Arial"/>
          <w:color w:val="000000" w:themeColor="text1"/>
          <w:sz w:val="16"/>
          <w:szCs w:val="16"/>
        </w:rPr>
        <w:br/>
        <w:t>-----------------------------------------------------------------------------------------</w:t>
      </w:r>
    </w:p>
    <w:p w:rsidR="00E94244" w:rsidRPr="00F95EDA" w:rsidRDefault="00E94244" w:rsidP="00E94244">
      <w:pPr>
        <w:spacing w:after="0" w:line="240" w:lineRule="auto"/>
        <w:jc w:val="both"/>
        <w:rPr>
          <w:rFonts w:ascii="Arial" w:hAnsi="Arial" w:cs="Arial"/>
          <w:color w:val="000000" w:themeColor="text1"/>
          <w:sz w:val="16"/>
          <w:szCs w:val="16"/>
        </w:rPr>
      </w:pPr>
      <w:r w:rsidRPr="00F95EDA">
        <w:rPr>
          <w:rFonts w:ascii="Arial" w:hAnsi="Arial" w:cs="Arial"/>
          <w:color w:val="000000" w:themeColor="text1"/>
          <w:sz w:val="16"/>
          <w:szCs w:val="16"/>
        </w:rPr>
        <w:t xml:space="preserve">Received on </w:t>
      </w:r>
      <w:r w:rsidR="00CE3114" w:rsidRPr="00F95EDA">
        <w:rPr>
          <w:rFonts w:ascii="Arial" w:hAnsi="Arial" w:cs="Arial"/>
          <w:color w:val="000000" w:themeColor="text1"/>
          <w:sz w:val="16"/>
          <w:szCs w:val="16"/>
        </w:rPr>
        <w:t>10-09-2022</w:t>
      </w:r>
    </w:p>
    <w:p w:rsidR="00E94244" w:rsidRPr="00F95EDA" w:rsidRDefault="00E94244" w:rsidP="00E94244">
      <w:pPr>
        <w:spacing w:after="0" w:line="240" w:lineRule="auto"/>
        <w:jc w:val="both"/>
        <w:rPr>
          <w:rFonts w:ascii="Arial" w:hAnsi="Arial" w:cs="Arial"/>
          <w:color w:val="000000" w:themeColor="text1"/>
          <w:sz w:val="16"/>
          <w:szCs w:val="16"/>
        </w:rPr>
      </w:pPr>
      <w:r w:rsidRPr="00F95EDA">
        <w:rPr>
          <w:rFonts w:ascii="Arial" w:hAnsi="Arial" w:cs="Arial"/>
          <w:color w:val="000000" w:themeColor="text1"/>
          <w:sz w:val="16"/>
          <w:szCs w:val="16"/>
        </w:rPr>
        <w:lastRenderedPageBreak/>
        <w:t xml:space="preserve">Accepted on </w:t>
      </w:r>
      <w:r w:rsidR="00CE3114" w:rsidRPr="00F95EDA">
        <w:rPr>
          <w:rFonts w:ascii="Arial" w:hAnsi="Arial" w:cs="Arial"/>
          <w:color w:val="000000" w:themeColor="text1"/>
          <w:sz w:val="16"/>
          <w:szCs w:val="16"/>
        </w:rPr>
        <w:t>17-02-2023</w:t>
      </w:r>
    </w:p>
    <w:p w:rsidR="00F01D84" w:rsidRPr="00F95EDA" w:rsidRDefault="00CF5D2C" w:rsidP="00E94244">
      <w:pPr>
        <w:spacing w:after="0" w:line="240" w:lineRule="auto"/>
        <w:jc w:val="both"/>
        <w:rPr>
          <w:rFonts w:ascii="Arial" w:hAnsi="Arial" w:cs="Arial"/>
          <w:color w:val="000000" w:themeColor="text1"/>
          <w:sz w:val="16"/>
          <w:szCs w:val="16"/>
        </w:rPr>
      </w:pPr>
      <w:r w:rsidRPr="00F95EDA">
        <w:rPr>
          <w:rFonts w:ascii="Arial" w:hAnsi="Arial" w:cs="Arial"/>
          <w:color w:val="000000" w:themeColor="text1"/>
          <w:sz w:val="16"/>
          <w:szCs w:val="16"/>
        </w:rPr>
        <w:t xml:space="preserve">cardiac pathology like </w:t>
      </w:r>
      <w:r w:rsidR="001534AF" w:rsidRPr="00F95EDA">
        <w:rPr>
          <w:rFonts w:ascii="Arial" w:hAnsi="Arial" w:cs="Arial"/>
          <w:color w:val="000000" w:themeColor="text1"/>
          <w:sz w:val="16"/>
          <w:szCs w:val="16"/>
        </w:rPr>
        <w:t>LHV</w:t>
      </w:r>
      <w:r w:rsidR="00D153B9" w:rsidRPr="00F95EDA">
        <w:rPr>
          <w:rFonts w:ascii="Arial" w:hAnsi="Arial" w:cs="Arial"/>
          <w:color w:val="000000" w:themeColor="text1"/>
          <w:sz w:val="16"/>
          <w:szCs w:val="16"/>
        </w:rPr>
        <w:t xml:space="preserve"> that is confirmed by echo later</w:t>
      </w:r>
      <w:r w:rsidR="0030028B" w:rsidRPr="00F95EDA">
        <w:rPr>
          <w:rFonts w:ascii="Arial" w:hAnsi="Arial" w:cs="Arial"/>
          <w:color w:val="000000" w:themeColor="text1"/>
          <w:sz w:val="16"/>
          <w:szCs w:val="16"/>
          <w:vertAlign w:val="superscript"/>
        </w:rPr>
        <w:t>1</w:t>
      </w:r>
      <w:r w:rsidR="00CA5B96" w:rsidRPr="00F95EDA">
        <w:rPr>
          <w:rFonts w:ascii="Arial" w:hAnsi="Arial" w:cs="Arial"/>
          <w:color w:val="000000" w:themeColor="text1"/>
          <w:sz w:val="16"/>
          <w:szCs w:val="16"/>
          <w:vertAlign w:val="superscript"/>
        </w:rPr>
        <w:t>1</w:t>
      </w:r>
      <w:r w:rsidR="00600FC8" w:rsidRPr="00F95EDA">
        <w:rPr>
          <w:rFonts w:ascii="Arial" w:hAnsi="Arial" w:cs="Arial"/>
          <w:color w:val="000000" w:themeColor="text1"/>
          <w:sz w:val="16"/>
          <w:szCs w:val="16"/>
        </w:rPr>
        <w:t>.</w:t>
      </w:r>
      <w:r w:rsidR="00803189" w:rsidRPr="00F95EDA">
        <w:rPr>
          <w:rFonts w:ascii="Arial" w:hAnsi="Arial" w:cs="Arial"/>
          <w:color w:val="000000" w:themeColor="text1"/>
          <w:sz w:val="16"/>
          <w:szCs w:val="16"/>
        </w:rPr>
        <w:t xml:space="preserve"> </w:t>
      </w:r>
      <w:r w:rsidR="00FC5E81" w:rsidRPr="00F95EDA">
        <w:rPr>
          <w:rFonts w:ascii="Arial" w:hAnsi="Arial" w:cs="Arial"/>
          <w:color w:val="000000" w:themeColor="text1"/>
          <w:sz w:val="16"/>
          <w:szCs w:val="16"/>
        </w:rPr>
        <w:t>Unfortunately, being an over-burdened</w:t>
      </w:r>
      <w:r w:rsidR="00CF6121" w:rsidRPr="00F95EDA">
        <w:rPr>
          <w:rFonts w:ascii="Arial" w:hAnsi="Arial" w:cs="Arial"/>
          <w:color w:val="000000" w:themeColor="text1"/>
          <w:sz w:val="16"/>
          <w:szCs w:val="16"/>
        </w:rPr>
        <w:t xml:space="preserve"> country for CRS, we need correct and early diagnosis of cardiac origin among CKD patients.</w:t>
      </w:r>
      <w:r w:rsidR="00B862C0" w:rsidRPr="00F95EDA">
        <w:rPr>
          <w:rFonts w:ascii="Arial" w:hAnsi="Arial" w:cs="Arial"/>
          <w:color w:val="000000" w:themeColor="text1"/>
          <w:sz w:val="16"/>
          <w:szCs w:val="16"/>
        </w:rPr>
        <w:t xml:space="preserve"> </w:t>
      </w:r>
      <w:r w:rsidR="00190FCC" w:rsidRPr="00F95EDA">
        <w:rPr>
          <w:rFonts w:ascii="Arial" w:hAnsi="Arial" w:cs="Arial"/>
          <w:color w:val="000000" w:themeColor="text1"/>
          <w:sz w:val="16"/>
          <w:szCs w:val="16"/>
        </w:rPr>
        <w:t>E</w:t>
      </w:r>
      <w:r w:rsidR="00CF6121" w:rsidRPr="00F95EDA">
        <w:rPr>
          <w:rFonts w:ascii="Arial" w:hAnsi="Arial" w:cs="Arial"/>
          <w:color w:val="000000" w:themeColor="text1"/>
          <w:sz w:val="16"/>
          <w:szCs w:val="16"/>
        </w:rPr>
        <w:t>cho is a</w:t>
      </w:r>
      <w:r w:rsidR="00190FCC" w:rsidRPr="00F95EDA">
        <w:rPr>
          <w:rFonts w:ascii="Arial" w:hAnsi="Arial" w:cs="Arial"/>
          <w:color w:val="000000" w:themeColor="text1"/>
          <w:sz w:val="16"/>
          <w:szCs w:val="16"/>
        </w:rPr>
        <w:t xml:space="preserve"> </w:t>
      </w:r>
      <w:r w:rsidR="00CF6121" w:rsidRPr="00F95EDA">
        <w:rPr>
          <w:rFonts w:ascii="Arial" w:hAnsi="Arial" w:cs="Arial"/>
          <w:color w:val="000000" w:themeColor="text1"/>
          <w:sz w:val="16"/>
          <w:szCs w:val="16"/>
        </w:rPr>
        <w:t>common</w:t>
      </w:r>
      <w:r w:rsidR="00190FCC" w:rsidRPr="00F95EDA">
        <w:rPr>
          <w:rFonts w:ascii="Arial" w:hAnsi="Arial" w:cs="Arial"/>
          <w:color w:val="000000" w:themeColor="text1"/>
          <w:sz w:val="16"/>
          <w:szCs w:val="16"/>
        </w:rPr>
        <w:t xml:space="preserve"> </w:t>
      </w:r>
      <w:r w:rsidR="00CF6121" w:rsidRPr="00F95EDA">
        <w:rPr>
          <w:rFonts w:ascii="Arial" w:hAnsi="Arial" w:cs="Arial"/>
          <w:color w:val="000000" w:themeColor="text1"/>
          <w:sz w:val="16"/>
          <w:szCs w:val="16"/>
        </w:rPr>
        <w:t xml:space="preserve">investigation for cardiac issues nowadays. </w:t>
      </w:r>
      <w:r w:rsidR="00190FCC" w:rsidRPr="00F95EDA">
        <w:rPr>
          <w:rFonts w:ascii="Arial" w:hAnsi="Arial" w:cs="Arial"/>
          <w:color w:val="000000" w:themeColor="text1"/>
          <w:sz w:val="16"/>
          <w:szCs w:val="16"/>
        </w:rPr>
        <w:t>Due to lack of local data on the significance of E</w:t>
      </w:r>
      <w:r w:rsidR="00C53B2E" w:rsidRPr="00F95EDA">
        <w:rPr>
          <w:rFonts w:ascii="Arial" w:hAnsi="Arial" w:cs="Arial"/>
          <w:color w:val="000000" w:themeColor="text1"/>
          <w:sz w:val="16"/>
          <w:szCs w:val="16"/>
        </w:rPr>
        <w:t xml:space="preserve">cho and plasma fibrinogen levels </w:t>
      </w:r>
      <w:r w:rsidR="00190FCC" w:rsidRPr="00F95EDA">
        <w:rPr>
          <w:rFonts w:ascii="Arial" w:hAnsi="Arial" w:cs="Arial"/>
          <w:color w:val="000000" w:themeColor="text1"/>
          <w:sz w:val="16"/>
          <w:szCs w:val="16"/>
        </w:rPr>
        <w:t>as diagnostic tool for LVH, we planned current study. Thus this project helped health providers to diagnose cardiac event at an early stage among patients of kidney fail</w:t>
      </w:r>
      <w:r w:rsidR="00190FCC" w:rsidRPr="00F95EDA">
        <w:rPr>
          <w:rFonts w:ascii="Arial" w:hAnsi="Arial" w:cs="Arial"/>
          <w:color w:val="000000" w:themeColor="text1"/>
          <w:sz w:val="16"/>
          <w:szCs w:val="16"/>
        </w:rPr>
        <w:softHyphen/>
        <w:t xml:space="preserve">ure on </w:t>
      </w:r>
      <w:r w:rsidR="00C53B2E" w:rsidRPr="00F95EDA">
        <w:rPr>
          <w:rFonts w:ascii="Arial" w:hAnsi="Arial" w:cs="Arial"/>
          <w:color w:val="000000" w:themeColor="text1"/>
          <w:sz w:val="16"/>
          <w:szCs w:val="16"/>
        </w:rPr>
        <w:t>through echocardiography</w:t>
      </w:r>
      <w:r w:rsidR="00190FCC" w:rsidRPr="00F95EDA">
        <w:rPr>
          <w:rFonts w:ascii="Arial" w:hAnsi="Arial" w:cs="Arial"/>
          <w:color w:val="000000" w:themeColor="text1"/>
          <w:sz w:val="16"/>
          <w:szCs w:val="16"/>
        </w:rPr>
        <w:t xml:space="preserve"> thus the adverse outcomes could be prevented</w:t>
      </w:r>
      <w:r w:rsidR="00C53B2E" w:rsidRPr="00F95EDA">
        <w:rPr>
          <w:rFonts w:ascii="Arial" w:hAnsi="Arial" w:cs="Arial"/>
          <w:color w:val="000000" w:themeColor="text1"/>
          <w:sz w:val="16"/>
          <w:szCs w:val="16"/>
        </w:rPr>
        <w:t>.</w:t>
      </w:r>
    </w:p>
    <w:p w:rsidR="00310D99" w:rsidRPr="00F95EDA" w:rsidRDefault="003E6C60" w:rsidP="003E6C60">
      <w:pPr>
        <w:pStyle w:val="NormalWeb"/>
        <w:spacing w:before="0" w:beforeAutospacing="0" w:after="0" w:afterAutospacing="0"/>
        <w:ind w:firstLine="432"/>
        <w:jc w:val="both"/>
        <w:rPr>
          <w:rFonts w:ascii="Arial" w:hAnsi="Arial" w:cs="Arial"/>
          <w:color w:val="000000" w:themeColor="text1"/>
          <w:sz w:val="16"/>
          <w:szCs w:val="16"/>
        </w:rPr>
      </w:pPr>
      <w:r w:rsidRPr="00F95EDA">
        <w:rPr>
          <w:rFonts w:ascii="Arial" w:hAnsi="Arial" w:cs="Arial"/>
          <w:color w:val="000000" w:themeColor="text1"/>
          <w:sz w:val="16"/>
          <w:szCs w:val="16"/>
        </w:rPr>
        <w:t>The objective of the study was to</w:t>
      </w:r>
      <w:r w:rsidR="00310D99" w:rsidRPr="00F95EDA">
        <w:rPr>
          <w:rFonts w:ascii="Arial" w:hAnsi="Arial" w:cs="Arial"/>
          <w:color w:val="000000" w:themeColor="text1"/>
          <w:sz w:val="16"/>
          <w:szCs w:val="16"/>
        </w:rPr>
        <w:t xml:space="preserve"> detect LVH by echocardiography among CKD patients and co-relationship between plasma fibrinogen and left ventricular mass index. </w:t>
      </w:r>
    </w:p>
    <w:p w:rsidR="003E6C60" w:rsidRPr="00F95EDA" w:rsidRDefault="003E6C60" w:rsidP="002A4926">
      <w:pPr>
        <w:pStyle w:val="NormalWeb"/>
        <w:spacing w:before="0" w:beforeAutospacing="0" w:after="0" w:afterAutospacing="0"/>
        <w:jc w:val="both"/>
        <w:rPr>
          <w:rStyle w:val="Strong"/>
          <w:rFonts w:ascii="Arial" w:hAnsi="Arial" w:cs="Arial"/>
          <w:color w:val="000000" w:themeColor="text1"/>
          <w:sz w:val="16"/>
          <w:szCs w:val="16"/>
        </w:rPr>
      </w:pPr>
    </w:p>
    <w:p w:rsidR="00AC355C" w:rsidRPr="00F95EDA" w:rsidRDefault="00AC355C" w:rsidP="002A4926">
      <w:pPr>
        <w:pStyle w:val="NormalWeb"/>
        <w:spacing w:before="0" w:beforeAutospacing="0" w:after="0" w:afterAutospacing="0"/>
        <w:jc w:val="both"/>
        <w:rPr>
          <w:rStyle w:val="Strong"/>
          <w:rFonts w:ascii="Arial" w:hAnsi="Arial" w:cs="Arial"/>
          <w:color w:val="000000" w:themeColor="text1"/>
          <w:sz w:val="20"/>
          <w:szCs w:val="16"/>
        </w:rPr>
      </w:pPr>
      <w:r w:rsidRPr="00F95EDA">
        <w:rPr>
          <w:rStyle w:val="Strong"/>
          <w:rFonts w:ascii="Arial" w:hAnsi="Arial" w:cs="Arial"/>
          <w:color w:val="000000" w:themeColor="text1"/>
          <w:sz w:val="20"/>
          <w:szCs w:val="16"/>
        </w:rPr>
        <w:t>METHODOLOGY</w:t>
      </w:r>
    </w:p>
    <w:p w:rsidR="003E6C60" w:rsidRPr="00F95EDA" w:rsidRDefault="003E6C60" w:rsidP="002A4926">
      <w:pPr>
        <w:pStyle w:val="NormalWeb"/>
        <w:spacing w:before="0" w:beforeAutospacing="0" w:after="0" w:afterAutospacing="0"/>
        <w:jc w:val="both"/>
        <w:rPr>
          <w:rFonts w:ascii="Arial" w:hAnsi="Arial" w:cs="Arial"/>
          <w:color w:val="000000" w:themeColor="text1"/>
          <w:sz w:val="10"/>
          <w:szCs w:val="16"/>
        </w:rPr>
      </w:pPr>
    </w:p>
    <w:p w:rsidR="00B00194" w:rsidRPr="00F95EDA" w:rsidRDefault="002B114B" w:rsidP="002A4926">
      <w:pPr>
        <w:spacing w:after="0" w:line="240" w:lineRule="auto"/>
        <w:jc w:val="both"/>
        <w:rPr>
          <w:rFonts w:ascii="Arial" w:hAnsi="Arial" w:cs="Arial"/>
          <w:color w:val="000000" w:themeColor="text1"/>
          <w:sz w:val="16"/>
          <w:szCs w:val="16"/>
        </w:rPr>
      </w:pPr>
      <w:r w:rsidRPr="00F95EDA">
        <w:rPr>
          <w:rFonts w:ascii="Arial" w:hAnsi="Arial" w:cs="Arial"/>
          <w:color w:val="000000" w:themeColor="text1"/>
          <w:sz w:val="16"/>
          <w:szCs w:val="16"/>
        </w:rPr>
        <w:t xml:space="preserve">It was an observational study with </w:t>
      </w:r>
      <w:r w:rsidR="00667948" w:rsidRPr="00F95EDA">
        <w:rPr>
          <w:rFonts w:ascii="Arial" w:hAnsi="Arial" w:cs="Arial"/>
          <w:color w:val="000000" w:themeColor="text1"/>
          <w:sz w:val="16"/>
          <w:szCs w:val="16"/>
        </w:rPr>
        <w:t>sample size</w:t>
      </w:r>
      <w:r w:rsidRPr="00F95EDA">
        <w:rPr>
          <w:rFonts w:ascii="Arial" w:hAnsi="Arial" w:cs="Arial"/>
          <w:color w:val="000000" w:themeColor="text1"/>
          <w:sz w:val="16"/>
          <w:szCs w:val="16"/>
        </w:rPr>
        <w:t xml:space="preserve"> of 62 patients enrolled through convenience sampling. </w:t>
      </w:r>
      <w:r w:rsidR="00667948" w:rsidRPr="00F95EDA">
        <w:rPr>
          <w:rFonts w:ascii="Arial" w:hAnsi="Arial" w:cs="Arial"/>
          <w:color w:val="000000" w:themeColor="text1"/>
          <w:sz w:val="16"/>
          <w:szCs w:val="16"/>
        </w:rPr>
        <w:t>Population studied was chronic kidney disease patients</w:t>
      </w:r>
      <w:r w:rsidR="00E94244" w:rsidRPr="00F95EDA">
        <w:rPr>
          <w:rFonts w:ascii="Arial" w:hAnsi="Arial" w:cs="Arial"/>
          <w:color w:val="000000" w:themeColor="text1"/>
          <w:sz w:val="16"/>
          <w:szCs w:val="16"/>
        </w:rPr>
        <w:t xml:space="preserve"> with </w:t>
      </w:r>
      <w:r w:rsidRPr="00F95EDA">
        <w:rPr>
          <w:rFonts w:ascii="Arial" w:hAnsi="Arial" w:cs="Arial"/>
          <w:color w:val="000000" w:themeColor="text1"/>
          <w:sz w:val="16"/>
          <w:szCs w:val="16"/>
        </w:rPr>
        <w:t xml:space="preserve">age ranged from 35-65 years. Almost 3ml of blood was taken for measuring serum creatinine and fibrinogen. </w:t>
      </w:r>
      <w:r w:rsidR="00900D7B" w:rsidRPr="00F95EDA">
        <w:rPr>
          <w:rFonts w:ascii="Arial" w:hAnsi="Arial" w:cs="Arial"/>
          <w:color w:val="000000" w:themeColor="text1"/>
          <w:sz w:val="16"/>
          <w:szCs w:val="16"/>
        </w:rPr>
        <w:t>Blood was centrifuged for plasma separation than stored at -20°C. ECG findings were confirmed by echo in all enrolled patients</w:t>
      </w:r>
      <w:r w:rsidRPr="00F95EDA">
        <w:rPr>
          <w:rFonts w:ascii="Arial" w:hAnsi="Arial" w:cs="Arial"/>
          <w:color w:val="000000" w:themeColor="text1"/>
          <w:sz w:val="16"/>
          <w:szCs w:val="16"/>
        </w:rPr>
        <w:t xml:space="preserve">. </w:t>
      </w:r>
      <w:r w:rsidR="00D24C94" w:rsidRPr="00F95EDA">
        <w:rPr>
          <w:rFonts w:ascii="Arial" w:hAnsi="Arial" w:cs="Arial"/>
          <w:color w:val="000000" w:themeColor="text1"/>
          <w:sz w:val="16"/>
          <w:szCs w:val="16"/>
        </w:rPr>
        <w:t xml:space="preserve">Plasma fibrinogen levels were measured by using </w:t>
      </w:r>
      <w:r w:rsidR="00D057B2" w:rsidRPr="00F95EDA">
        <w:rPr>
          <w:rFonts w:ascii="Arial" w:hAnsi="Arial" w:cs="Arial"/>
          <w:color w:val="000000" w:themeColor="text1"/>
          <w:sz w:val="16"/>
          <w:szCs w:val="16"/>
        </w:rPr>
        <w:t>Human fibrinogen ELISA kit</w:t>
      </w:r>
      <w:r w:rsidR="00022E87" w:rsidRPr="00F95EDA">
        <w:rPr>
          <w:rFonts w:ascii="Arial" w:hAnsi="Arial" w:cs="Arial"/>
          <w:color w:val="000000" w:themeColor="text1"/>
          <w:sz w:val="16"/>
          <w:szCs w:val="16"/>
        </w:rPr>
        <w:t>.</w:t>
      </w:r>
      <w:r w:rsidR="00D057B2" w:rsidRPr="00F95EDA">
        <w:rPr>
          <w:rFonts w:ascii="Arial" w:hAnsi="Arial" w:cs="Arial"/>
          <w:color w:val="000000" w:themeColor="text1"/>
          <w:sz w:val="16"/>
          <w:szCs w:val="16"/>
        </w:rPr>
        <w:t xml:space="preserve"> </w:t>
      </w:r>
      <w:r w:rsidR="00B00194" w:rsidRPr="00F95EDA">
        <w:rPr>
          <w:rFonts w:ascii="Arial" w:hAnsi="Arial" w:cs="Arial"/>
          <w:color w:val="000000" w:themeColor="text1"/>
          <w:sz w:val="16"/>
          <w:szCs w:val="16"/>
        </w:rPr>
        <w:t>Five serum storage tubes were taken. These were labelled as 1,2,3,4,5. Standard was labelled as 0.50µl standard dilution was taken in tubes labelled as 1,2,3,4,5. 100µl standard was added to first tube, then 100 µl was taken out from the first tube into the second. 50 µl was transferred from the second tube to the third tube. Now same amount was transferred from third to fourth and then from fourth to fifth tube. So there were five calibrators.</w:t>
      </w:r>
    </w:p>
    <w:p w:rsidR="00B00194" w:rsidRPr="00F95EDA" w:rsidRDefault="00B00194" w:rsidP="003E6C60">
      <w:pPr>
        <w:spacing w:after="0" w:line="240" w:lineRule="auto"/>
        <w:ind w:firstLine="432"/>
        <w:jc w:val="both"/>
        <w:rPr>
          <w:rFonts w:ascii="Arial" w:hAnsi="Arial" w:cs="Arial"/>
          <w:color w:val="000000" w:themeColor="text1"/>
          <w:sz w:val="16"/>
          <w:szCs w:val="16"/>
        </w:rPr>
      </w:pPr>
      <w:r w:rsidRPr="00F95EDA">
        <w:rPr>
          <w:rFonts w:ascii="Arial" w:hAnsi="Arial" w:cs="Arial"/>
          <w:color w:val="000000" w:themeColor="text1"/>
          <w:sz w:val="16"/>
          <w:szCs w:val="16"/>
        </w:rPr>
        <w:t>40 µl sample dilution was added to testing sample well, 10µl testing sample was added to the testing sample well. It was mixed gently without touching the well wall. 50µl calibrators from five calibrators were added to each well. Testing sample well was covered with adhesive strip and was incubated for 30 minutes at 37</w:t>
      </w:r>
      <w:r w:rsidRPr="00F95EDA">
        <w:rPr>
          <w:rFonts w:ascii="Arial" w:hAnsi="Arial" w:cs="Arial"/>
          <w:color w:val="000000" w:themeColor="text1"/>
          <w:sz w:val="16"/>
          <w:szCs w:val="16"/>
          <w:vertAlign w:val="superscript"/>
        </w:rPr>
        <w:t>o</w:t>
      </w:r>
      <w:r w:rsidRPr="00F95EDA">
        <w:rPr>
          <w:rFonts w:ascii="Arial" w:hAnsi="Arial" w:cs="Arial"/>
          <w:color w:val="000000" w:themeColor="text1"/>
          <w:sz w:val="16"/>
          <w:szCs w:val="16"/>
        </w:rPr>
        <w:t xml:space="preserve">C. </w:t>
      </w:r>
    </w:p>
    <w:p w:rsidR="00B00194" w:rsidRPr="00F95EDA" w:rsidRDefault="00B00194" w:rsidP="003E6C60">
      <w:pPr>
        <w:spacing w:after="0" w:line="240" w:lineRule="auto"/>
        <w:ind w:firstLine="432"/>
        <w:jc w:val="both"/>
        <w:rPr>
          <w:rFonts w:ascii="Arial" w:hAnsi="Arial" w:cs="Arial"/>
          <w:color w:val="000000" w:themeColor="text1"/>
          <w:sz w:val="16"/>
          <w:szCs w:val="16"/>
        </w:rPr>
      </w:pPr>
      <w:r w:rsidRPr="00F95EDA">
        <w:rPr>
          <w:rFonts w:ascii="Arial" w:hAnsi="Arial" w:cs="Arial"/>
          <w:color w:val="000000" w:themeColor="text1"/>
          <w:sz w:val="16"/>
          <w:szCs w:val="16"/>
        </w:rPr>
        <w:lastRenderedPageBreak/>
        <w:t>Washing buffer was made by adding 5 ml wash solution to 100 ml distilled water. Testing sample well was uncovered, liquid was discarded, 300 µl washing buffer was added to every well for washing. Testing sample wells were dried. 50 µl HRP (horse Reddish Per Oxide) was added to each dried well. Incubation was done for 30 min at 37</w:t>
      </w:r>
      <w:r w:rsidRPr="00F95EDA">
        <w:rPr>
          <w:rFonts w:ascii="Arial" w:hAnsi="Arial" w:cs="Arial"/>
          <w:color w:val="000000" w:themeColor="text1"/>
          <w:sz w:val="16"/>
          <w:szCs w:val="16"/>
          <w:vertAlign w:val="superscript"/>
        </w:rPr>
        <w:t>o</w:t>
      </w:r>
      <w:r w:rsidRPr="00F95EDA">
        <w:rPr>
          <w:rFonts w:ascii="Arial" w:hAnsi="Arial" w:cs="Arial"/>
          <w:color w:val="000000" w:themeColor="text1"/>
          <w:sz w:val="16"/>
          <w:szCs w:val="16"/>
        </w:rPr>
        <w:t>C. Washing was repeated again, wells were dried.</w:t>
      </w:r>
    </w:p>
    <w:p w:rsidR="00DF46B7" w:rsidRPr="00F95EDA" w:rsidRDefault="00B00194" w:rsidP="003E6C60">
      <w:pPr>
        <w:spacing w:after="0" w:line="240" w:lineRule="auto"/>
        <w:ind w:firstLine="432"/>
        <w:jc w:val="both"/>
        <w:rPr>
          <w:rFonts w:ascii="Arial" w:hAnsi="Arial" w:cs="Arial"/>
          <w:color w:val="000000" w:themeColor="text1"/>
          <w:sz w:val="16"/>
          <w:szCs w:val="16"/>
        </w:rPr>
      </w:pPr>
      <w:r w:rsidRPr="00F95EDA">
        <w:rPr>
          <w:rFonts w:ascii="Arial" w:hAnsi="Arial" w:cs="Arial"/>
          <w:color w:val="000000" w:themeColor="text1"/>
          <w:sz w:val="16"/>
          <w:szCs w:val="16"/>
        </w:rPr>
        <w:t>50 µl chromagen solution A and 50 µl chromogen solution B was added to each well. It was incubated for 15 min at 37</w:t>
      </w:r>
      <w:r w:rsidRPr="00F95EDA">
        <w:rPr>
          <w:rFonts w:ascii="Arial" w:hAnsi="Arial" w:cs="Arial"/>
          <w:color w:val="000000" w:themeColor="text1"/>
          <w:sz w:val="16"/>
          <w:szCs w:val="16"/>
          <w:vertAlign w:val="superscript"/>
        </w:rPr>
        <w:t>o</w:t>
      </w:r>
      <w:r w:rsidRPr="00F95EDA">
        <w:rPr>
          <w:rFonts w:ascii="Arial" w:hAnsi="Arial" w:cs="Arial"/>
          <w:color w:val="000000" w:themeColor="text1"/>
          <w:sz w:val="16"/>
          <w:szCs w:val="16"/>
        </w:rPr>
        <w:t xml:space="preserve">C. Appearance of blue colour was seen in each well. 50 µl stop solution was added to each well, the colour change was from blue to yellow. Reading was taken from Stat Fax 303 strip reader. </w:t>
      </w:r>
      <w:r w:rsidR="00DF46B7" w:rsidRPr="00F95EDA">
        <w:rPr>
          <w:rFonts w:ascii="Arial" w:hAnsi="Arial" w:cs="Arial"/>
          <w:color w:val="000000" w:themeColor="text1"/>
          <w:sz w:val="16"/>
          <w:szCs w:val="16"/>
        </w:rPr>
        <w:t xml:space="preserve">Patients with ECG </w:t>
      </w:r>
      <w:r w:rsidR="00B0525B" w:rsidRPr="00F95EDA">
        <w:rPr>
          <w:rFonts w:ascii="Arial" w:hAnsi="Arial" w:cs="Arial"/>
          <w:color w:val="000000" w:themeColor="text1"/>
          <w:sz w:val="16"/>
          <w:szCs w:val="16"/>
        </w:rPr>
        <w:t xml:space="preserve">abnormalities, receiving </w:t>
      </w:r>
      <w:r w:rsidR="00DF46B7" w:rsidRPr="00F95EDA">
        <w:rPr>
          <w:rFonts w:ascii="Arial" w:hAnsi="Arial" w:cs="Arial"/>
          <w:color w:val="000000" w:themeColor="text1"/>
          <w:sz w:val="16"/>
          <w:szCs w:val="16"/>
        </w:rPr>
        <w:t>digitalis therapy</w:t>
      </w:r>
      <w:r w:rsidR="00B0525B" w:rsidRPr="00F95EDA">
        <w:rPr>
          <w:rFonts w:ascii="Arial" w:hAnsi="Arial" w:cs="Arial"/>
          <w:color w:val="000000" w:themeColor="text1"/>
          <w:sz w:val="16"/>
          <w:szCs w:val="16"/>
        </w:rPr>
        <w:t>, transplant patients</w:t>
      </w:r>
      <w:r w:rsidR="00DF46B7" w:rsidRPr="00F95EDA">
        <w:rPr>
          <w:rFonts w:ascii="Arial" w:hAnsi="Arial" w:cs="Arial"/>
          <w:color w:val="000000" w:themeColor="text1"/>
          <w:sz w:val="16"/>
          <w:szCs w:val="16"/>
        </w:rPr>
        <w:t xml:space="preserve"> were ruled out from study.</w:t>
      </w:r>
      <w:r w:rsidR="00FC2191" w:rsidRPr="00F95EDA">
        <w:rPr>
          <w:rFonts w:ascii="Arial" w:hAnsi="Arial" w:cs="Arial"/>
          <w:color w:val="000000" w:themeColor="text1"/>
          <w:sz w:val="16"/>
          <w:szCs w:val="16"/>
        </w:rPr>
        <w:t xml:space="preserve"> Written informed consent with demographic data was taken.</w:t>
      </w:r>
    </w:p>
    <w:p w:rsidR="007A07EA" w:rsidRPr="00F95EDA" w:rsidRDefault="00AC355C" w:rsidP="003E6C60">
      <w:pPr>
        <w:spacing w:after="0" w:line="240" w:lineRule="auto"/>
        <w:jc w:val="both"/>
        <w:rPr>
          <w:rFonts w:ascii="Arial" w:hAnsi="Arial" w:cs="Arial"/>
          <w:b/>
          <w:bCs/>
          <w:color w:val="000000" w:themeColor="text1"/>
          <w:sz w:val="16"/>
          <w:szCs w:val="16"/>
        </w:rPr>
      </w:pPr>
      <w:r w:rsidRPr="00F95EDA">
        <w:rPr>
          <w:rStyle w:val="Strong"/>
          <w:rFonts w:ascii="Arial" w:hAnsi="Arial" w:cs="Arial"/>
          <w:color w:val="000000" w:themeColor="text1"/>
          <w:sz w:val="16"/>
          <w:szCs w:val="16"/>
        </w:rPr>
        <w:t>S</w:t>
      </w:r>
      <w:r w:rsidR="003E6C60" w:rsidRPr="00F95EDA">
        <w:rPr>
          <w:rStyle w:val="Strong"/>
          <w:rFonts w:ascii="Arial" w:hAnsi="Arial" w:cs="Arial"/>
          <w:color w:val="000000" w:themeColor="text1"/>
          <w:sz w:val="16"/>
          <w:szCs w:val="16"/>
        </w:rPr>
        <w:t>tatistical analysis</w:t>
      </w:r>
      <w:r w:rsidR="003E6C60" w:rsidRPr="00F95EDA">
        <w:rPr>
          <w:rFonts w:ascii="Arial" w:hAnsi="Arial" w:cs="Arial"/>
          <w:color w:val="000000" w:themeColor="text1"/>
          <w:sz w:val="16"/>
          <w:szCs w:val="16"/>
        </w:rPr>
        <w:t xml:space="preserve">: </w:t>
      </w:r>
      <w:r w:rsidR="002859FB" w:rsidRPr="00F95EDA">
        <w:rPr>
          <w:rFonts w:ascii="Arial" w:hAnsi="Arial" w:cs="Arial"/>
          <w:color w:val="000000" w:themeColor="text1"/>
          <w:sz w:val="16"/>
          <w:szCs w:val="16"/>
        </w:rPr>
        <w:t>Data was eva</w:t>
      </w:r>
      <w:r w:rsidR="00711E4F" w:rsidRPr="00F95EDA">
        <w:rPr>
          <w:rFonts w:ascii="Arial" w:hAnsi="Arial" w:cs="Arial"/>
          <w:color w:val="000000" w:themeColor="text1"/>
          <w:sz w:val="16"/>
          <w:szCs w:val="16"/>
        </w:rPr>
        <w:t>luated by using SPSS v</w:t>
      </w:r>
      <w:r w:rsidR="001751D3" w:rsidRPr="00F95EDA">
        <w:rPr>
          <w:rFonts w:ascii="Arial" w:hAnsi="Arial" w:cs="Arial"/>
          <w:color w:val="000000" w:themeColor="text1"/>
          <w:sz w:val="16"/>
          <w:szCs w:val="16"/>
        </w:rPr>
        <w:t>.</w:t>
      </w:r>
      <w:r w:rsidR="00711E4F" w:rsidRPr="00F95EDA">
        <w:rPr>
          <w:rFonts w:ascii="Arial" w:hAnsi="Arial" w:cs="Arial"/>
          <w:color w:val="000000" w:themeColor="text1"/>
          <w:sz w:val="16"/>
          <w:szCs w:val="16"/>
        </w:rPr>
        <w:t>24</w:t>
      </w:r>
      <w:r w:rsidR="007E0C19" w:rsidRPr="00F95EDA">
        <w:rPr>
          <w:rFonts w:ascii="Arial" w:hAnsi="Arial" w:cs="Arial"/>
          <w:color w:val="000000" w:themeColor="text1"/>
          <w:sz w:val="16"/>
          <w:szCs w:val="16"/>
        </w:rPr>
        <w:t xml:space="preserve">. </w:t>
      </w:r>
      <w:r w:rsidR="001751D3" w:rsidRPr="00F95EDA">
        <w:rPr>
          <w:rFonts w:ascii="Arial" w:hAnsi="Arial" w:cs="Arial"/>
          <w:color w:val="000000" w:themeColor="text1"/>
          <w:sz w:val="16"/>
          <w:szCs w:val="16"/>
        </w:rPr>
        <w:t>Qualitative parameters were</w:t>
      </w:r>
      <w:r w:rsidR="00871EDC" w:rsidRPr="00F95EDA">
        <w:rPr>
          <w:rFonts w:ascii="Arial" w:hAnsi="Arial" w:cs="Arial"/>
          <w:color w:val="000000" w:themeColor="text1"/>
          <w:sz w:val="16"/>
          <w:szCs w:val="16"/>
        </w:rPr>
        <w:t xml:space="preserve"> presented as f</w:t>
      </w:r>
      <w:r w:rsidR="007E0C19" w:rsidRPr="00F95EDA">
        <w:rPr>
          <w:rFonts w:ascii="Arial" w:hAnsi="Arial" w:cs="Arial"/>
          <w:color w:val="000000" w:themeColor="text1"/>
          <w:sz w:val="16"/>
          <w:szCs w:val="16"/>
        </w:rPr>
        <w:t xml:space="preserve">requencies and percentages. </w:t>
      </w:r>
      <w:r w:rsidR="0083194F" w:rsidRPr="00F95EDA">
        <w:rPr>
          <w:rFonts w:ascii="Arial" w:hAnsi="Arial" w:cs="Arial"/>
          <w:color w:val="000000" w:themeColor="text1"/>
          <w:sz w:val="16"/>
          <w:szCs w:val="16"/>
        </w:rPr>
        <w:t>Median and interquartile range (IQR) given for non-normally distributed variables</w:t>
      </w:r>
      <w:r w:rsidR="00711E4F" w:rsidRPr="00F95EDA">
        <w:rPr>
          <w:rFonts w:ascii="Arial" w:hAnsi="Arial" w:cs="Arial"/>
          <w:color w:val="000000" w:themeColor="text1"/>
          <w:sz w:val="16"/>
          <w:szCs w:val="16"/>
        </w:rPr>
        <w:t xml:space="preserve"> (age)</w:t>
      </w:r>
      <w:r w:rsidR="007E0C19" w:rsidRPr="00F95EDA">
        <w:rPr>
          <w:rFonts w:ascii="Arial" w:hAnsi="Arial" w:cs="Arial"/>
          <w:color w:val="000000" w:themeColor="text1"/>
          <w:sz w:val="16"/>
          <w:szCs w:val="16"/>
        </w:rPr>
        <w:t xml:space="preserve">. </w:t>
      </w:r>
      <w:r w:rsidR="001751D3" w:rsidRPr="00F95EDA">
        <w:rPr>
          <w:rFonts w:ascii="Arial" w:hAnsi="Arial" w:cs="Arial"/>
          <w:color w:val="000000" w:themeColor="text1"/>
          <w:sz w:val="16"/>
          <w:szCs w:val="16"/>
        </w:rPr>
        <w:t xml:space="preserve">Quantitative variables were presented as </w:t>
      </w:r>
      <w:r w:rsidR="007A07EA" w:rsidRPr="00F95EDA">
        <w:rPr>
          <w:rFonts w:ascii="Arial" w:hAnsi="Arial" w:cs="Arial"/>
          <w:color w:val="000000" w:themeColor="text1"/>
          <w:sz w:val="16"/>
          <w:szCs w:val="16"/>
        </w:rPr>
        <w:t>Mean</w:t>
      </w:r>
      <w:r w:rsidR="001751D3" w:rsidRPr="00F95EDA">
        <w:rPr>
          <w:rFonts w:ascii="Arial" w:hAnsi="Arial" w:cs="Arial"/>
          <w:color w:val="000000" w:themeColor="text1"/>
          <w:sz w:val="16"/>
          <w:szCs w:val="16"/>
        </w:rPr>
        <w:t xml:space="preserve"> ± SD</w:t>
      </w:r>
      <w:r w:rsidR="00562727" w:rsidRPr="00F95EDA">
        <w:rPr>
          <w:rFonts w:ascii="Arial" w:hAnsi="Arial" w:cs="Arial"/>
          <w:color w:val="000000" w:themeColor="text1"/>
          <w:sz w:val="16"/>
          <w:szCs w:val="16"/>
        </w:rPr>
        <w:t>.</w:t>
      </w:r>
      <w:r w:rsidR="007A07EA" w:rsidRPr="00F95EDA">
        <w:rPr>
          <w:rFonts w:ascii="Arial" w:hAnsi="Arial" w:cs="Arial"/>
          <w:color w:val="000000" w:themeColor="text1"/>
          <w:sz w:val="16"/>
          <w:szCs w:val="16"/>
        </w:rPr>
        <w:t xml:space="preserve"> Spearman correlation was applied to check the correlation of variables. </w:t>
      </w:r>
      <w:r w:rsidR="007E0C19" w:rsidRPr="00F95EDA">
        <w:rPr>
          <w:rFonts w:ascii="Arial" w:hAnsi="Arial" w:cs="Arial"/>
          <w:color w:val="000000" w:themeColor="text1"/>
          <w:sz w:val="16"/>
          <w:szCs w:val="16"/>
        </w:rPr>
        <w:t xml:space="preserve">P value of &lt; 0.05 was considered significant. </w:t>
      </w:r>
      <w:r w:rsidR="009A1C38" w:rsidRPr="00F95EDA">
        <w:rPr>
          <w:rStyle w:val="Strong"/>
          <w:rFonts w:ascii="Arial" w:hAnsi="Arial" w:cs="Arial"/>
          <w:color w:val="000000" w:themeColor="text1"/>
          <w:sz w:val="16"/>
          <w:szCs w:val="16"/>
        </w:rPr>
        <w:t xml:space="preserve"> </w:t>
      </w:r>
      <w:r w:rsidR="007A07EA" w:rsidRPr="00F95EDA">
        <w:rPr>
          <w:rFonts w:ascii="Arial" w:hAnsi="Arial" w:cs="Arial"/>
          <w:color w:val="000000" w:themeColor="text1"/>
          <w:sz w:val="16"/>
          <w:szCs w:val="16"/>
        </w:rPr>
        <w:t>.</w:t>
      </w:r>
    </w:p>
    <w:p w:rsidR="003E6C60" w:rsidRPr="00F95EDA" w:rsidRDefault="003E6C60" w:rsidP="002A4926">
      <w:pPr>
        <w:tabs>
          <w:tab w:val="left" w:pos="2025"/>
        </w:tabs>
        <w:spacing w:after="0" w:line="240" w:lineRule="auto"/>
        <w:jc w:val="both"/>
        <w:rPr>
          <w:rStyle w:val="Strong"/>
          <w:rFonts w:ascii="Arial" w:hAnsi="Arial" w:cs="Arial"/>
          <w:color w:val="000000" w:themeColor="text1"/>
          <w:sz w:val="16"/>
          <w:szCs w:val="16"/>
        </w:rPr>
      </w:pPr>
    </w:p>
    <w:p w:rsidR="003E6C60" w:rsidRPr="00F95EDA" w:rsidRDefault="00AC355C" w:rsidP="002A4926">
      <w:pPr>
        <w:tabs>
          <w:tab w:val="left" w:pos="2025"/>
        </w:tabs>
        <w:spacing w:after="0" w:line="240" w:lineRule="auto"/>
        <w:jc w:val="both"/>
        <w:rPr>
          <w:rStyle w:val="Strong"/>
          <w:rFonts w:ascii="Arial" w:hAnsi="Arial" w:cs="Arial"/>
          <w:color w:val="000000" w:themeColor="text1"/>
          <w:sz w:val="20"/>
          <w:szCs w:val="16"/>
        </w:rPr>
      </w:pPr>
      <w:r w:rsidRPr="00F95EDA">
        <w:rPr>
          <w:rStyle w:val="Strong"/>
          <w:rFonts w:ascii="Arial" w:hAnsi="Arial" w:cs="Arial"/>
          <w:color w:val="000000" w:themeColor="text1"/>
          <w:sz w:val="20"/>
          <w:szCs w:val="16"/>
        </w:rPr>
        <w:t>RESULTS</w:t>
      </w:r>
    </w:p>
    <w:p w:rsidR="003E6C60" w:rsidRPr="00F95EDA" w:rsidRDefault="003E6C60" w:rsidP="002A4926">
      <w:pPr>
        <w:tabs>
          <w:tab w:val="left" w:pos="2025"/>
        </w:tabs>
        <w:spacing w:after="0" w:line="240" w:lineRule="auto"/>
        <w:jc w:val="both"/>
        <w:rPr>
          <w:rStyle w:val="Strong"/>
          <w:rFonts w:ascii="Arial" w:hAnsi="Arial" w:cs="Arial"/>
          <w:color w:val="000000" w:themeColor="text1"/>
          <w:sz w:val="10"/>
          <w:szCs w:val="16"/>
        </w:rPr>
      </w:pPr>
    </w:p>
    <w:p w:rsidR="00E00D96" w:rsidRPr="00F95EDA" w:rsidRDefault="00B2715B" w:rsidP="002A4926">
      <w:pPr>
        <w:tabs>
          <w:tab w:val="left" w:pos="2025"/>
        </w:tabs>
        <w:spacing w:after="0" w:line="240" w:lineRule="auto"/>
        <w:jc w:val="both"/>
        <w:rPr>
          <w:rFonts w:ascii="Arial" w:hAnsi="Arial" w:cs="Arial"/>
          <w:color w:val="000000" w:themeColor="text1"/>
          <w:sz w:val="16"/>
          <w:szCs w:val="16"/>
        </w:rPr>
      </w:pPr>
      <w:r w:rsidRPr="00F95EDA">
        <w:rPr>
          <w:rFonts w:ascii="Arial" w:eastAsia="Times New Roman" w:hAnsi="Arial" w:cs="Arial"/>
          <w:color w:val="000000" w:themeColor="text1"/>
          <w:sz w:val="16"/>
          <w:szCs w:val="16"/>
        </w:rPr>
        <w:t xml:space="preserve">Age ranged from </w:t>
      </w:r>
      <w:r w:rsidR="0018202F" w:rsidRPr="00F95EDA">
        <w:rPr>
          <w:rFonts w:ascii="Arial" w:eastAsia="Times New Roman" w:hAnsi="Arial" w:cs="Arial"/>
          <w:color w:val="000000" w:themeColor="text1"/>
          <w:sz w:val="16"/>
          <w:szCs w:val="16"/>
        </w:rPr>
        <w:t>35</w:t>
      </w:r>
      <w:r w:rsidRPr="00F95EDA">
        <w:rPr>
          <w:rFonts w:ascii="Arial" w:eastAsia="Times New Roman" w:hAnsi="Arial" w:cs="Arial"/>
          <w:color w:val="000000" w:themeColor="text1"/>
          <w:sz w:val="16"/>
          <w:szCs w:val="16"/>
        </w:rPr>
        <w:t xml:space="preserve"> to </w:t>
      </w:r>
      <w:r w:rsidR="0018202F" w:rsidRPr="00F95EDA">
        <w:rPr>
          <w:rFonts w:ascii="Arial" w:eastAsia="Times New Roman" w:hAnsi="Arial" w:cs="Arial"/>
          <w:color w:val="000000" w:themeColor="text1"/>
          <w:sz w:val="16"/>
          <w:szCs w:val="16"/>
        </w:rPr>
        <w:t>65</w:t>
      </w:r>
      <w:r w:rsidRPr="00F95EDA">
        <w:rPr>
          <w:rFonts w:ascii="Arial" w:eastAsia="Times New Roman" w:hAnsi="Arial" w:cs="Arial"/>
          <w:color w:val="000000" w:themeColor="text1"/>
          <w:sz w:val="16"/>
          <w:szCs w:val="16"/>
        </w:rPr>
        <w:t xml:space="preserve"> years.</w:t>
      </w:r>
      <w:r w:rsidR="005A537C" w:rsidRPr="00F95EDA">
        <w:rPr>
          <w:rFonts w:ascii="Arial" w:eastAsia="Times New Roman" w:hAnsi="Arial" w:cs="Arial"/>
          <w:color w:val="000000" w:themeColor="text1"/>
          <w:sz w:val="16"/>
          <w:szCs w:val="16"/>
        </w:rPr>
        <w:t xml:space="preserve"> Other parameters like gender</w:t>
      </w:r>
      <w:r w:rsidR="0015175A" w:rsidRPr="00F95EDA">
        <w:rPr>
          <w:rFonts w:ascii="Arial" w:eastAsia="Times New Roman" w:hAnsi="Arial" w:cs="Arial"/>
          <w:color w:val="000000" w:themeColor="text1"/>
          <w:sz w:val="16"/>
          <w:szCs w:val="16"/>
        </w:rPr>
        <w:t xml:space="preserve">, </w:t>
      </w:r>
      <w:r w:rsidR="009E6BF8" w:rsidRPr="00F95EDA">
        <w:rPr>
          <w:rFonts w:ascii="Arial" w:eastAsia="Times New Roman" w:hAnsi="Arial" w:cs="Arial"/>
          <w:color w:val="000000" w:themeColor="text1"/>
          <w:sz w:val="16"/>
          <w:szCs w:val="16"/>
        </w:rPr>
        <w:t>BMI</w:t>
      </w:r>
      <w:r w:rsidR="0015175A" w:rsidRPr="00F95EDA">
        <w:rPr>
          <w:rFonts w:ascii="Arial" w:eastAsia="Times New Roman" w:hAnsi="Arial" w:cs="Arial"/>
          <w:color w:val="000000" w:themeColor="text1"/>
          <w:sz w:val="16"/>
          <w:szCs w:val="16"/>
        </w:rPr>
        <w:t xml:space="preserve"> and CTSI</w:t>
      </w:r>
      <w:r w:rsidR="005A537C" w:rsidRPr="00F95EDA">
        <w:rPr>
          <w:rFonts w:ascii="Arial" w:eastAsia="Times New Roman" w:hAnsi="Arial" w:cs="Arial"/>
          <w:color w:val="000000" w:themeColor="text1"/>
          <w:sz w:val="16"/>
          <w:szCs w:val="16"/>
        </w:rPr>
        <w:t xml:space="preserve"> were shown as</w:t>
      </w:r>
      <w:r w:rsidR="007B1124" w:rsidRPr="00F95EDA">
        <w:rPr>
          <w:rFonts w:ascii="Arial" w:eastAsia="Times New Roman" w:hAnsi="Arial" w:cs="Arial"/>
          <w:color w:val="000000" w:themeColor="text1"/>
          <w:sz w:val="16"/>
          <w:szCs w:val="16"/>
        </w:rPr>
        <w:t xml:space="preserve"> </w:t>
      </w:r>
      <w:r w:rsidR="005A537C" w:rsidRPr="00F95EDA">
        <w:rPr>
          <w:rFonts w:ascii="Arial" w:eastAsia="Times New Roman" w:hAnsi="Arial" w:cs="Arial"/>
          <w:color w:val="000000" w:themeColor="text1"/>
          <w:sz w:val="16"/>
          <w:szCs w:val="16"/>
        </w:rPr>
        <w:t>frequency and percentage</w:t>
      </w:r>
      <w:r w:rsidR="00D15F19" w:rsidRPr="00F95EDA">
        <w:rPr>
          <w:rFonts w:ascii="Arial" w:eastAsia="Times New Roman" w:hAnsi="Arial" w:cs="Arial"/>
          <w:color w:val="000000" w:themeColor="text1"/>
          <w:sz w:val="16"/>
          <w:szCs w:val="16"/>
        </w:rPr>
        <w:t xml:space="preserve"> in table-1.</w:t>
      </w:r>
      <w:r w:rsidR="00800625" w:rsidRPr="00F95EDA">
        <w:rPr>
          <w:rFonts w:ascii="Arial" w:hAnsi="Arial" w:cs="Arial"/>
          <w:color w:val="000000" w:themeColor="text1"/>
          <w:sz w:val="16"/>
          <w:szCs w:val="16"/>
        </w:rPr>
        <w:t xml:space="preserve"> </w:t>
      </w:r>
      <w:r w:rsidR="00C10EAF" w:rsidRPr="00F95EDA">
        <w:rPr>
          <w:rFonts w:ascii="Arial" w:hAnsi="Arial" w:cs="Arial"/>
          <w:color w:val="000000" w:themeColor="text1"/>
          <w:sz w:val="16"/>
          <w:szCs w:val="16"/>
        </w:rPr>
        <w:t>Males were 58% while rest</w:t>
      </w:r>
      <w:r w:rsidR="00BD127D" w:rsidRPr="00F95EDA">
        <w:rPr>
          <w:rFonts w:ascii="Arial" w:hAnsi="Arial" w:cs="Arial"/>
          <w:color w:val="000000" w:themeColor="text1"/>
          <w:sz w:val="16"/>
          <w:szCs w:val="16"/>
        </w:rPr>
        <w:t xml:space="preserve"> (42%)</w:t>
      </w:r>
      <w:r w:rsidR="00C10EAF" w:rsidRPr="00F95EDA">
        <w:rPr>
          <w:rFonts w:ascii="Arial" w:hAnsi="Arial" w:cs="Arial"/>
          <w:color w:val="000000" w:themeColor="text1"/>
          <w:sz w:val="16"/>
          <w:szCs w:val="16"/>
        </w:rPr>
        <w:t xml:space="preserve"> were females in study.</w:t>
      </w:r>
    </w:p>
    <w:p w:rsidR="003E6C60" w:rsidRPr="00F95EDA" w:rsidRDefault="003E6C60" w:rsidP="002A4926">
      <w:pPr>
        <w:tabs>
          <w:tab w:val="left" w:pos="2025"/>
        </w:tabs>
        <w:spacing w:after="0" w:line="240" w:lineRule="auto"/>
        <w:jc w:val="both"/>
        <w:rPr>
          <w:rFonts w:ascii="Arial" w:hAnsi="Arial" w:cs="Arial"/>
          <w:color w:val="000000" w:themeColor="text1"/>
          <w:sz w:val="16"/>
          <w:szCs w:val="16"/>
        </w:rPr>
      </w:pPr>
    </w:p>
    <w:p w:rsidR="003E6C60" w:rsidRPr="00F95EDA" w:rsidRDefault="003E6C60" w:rsidP="002A4926">
      <w:pPr>
        <w:tabs>
          <w:tab w:val="left" w:pos="2025"/>
        </w:tabs>
        <w:spacing w:after="0" w:line="240" w:lineRule="auto"/>
        <w:jc w:val="both"/>
        <w:rPr>
          <w:rFonts w:ascii="Arial" w:hAnsi="Arial" w:cs="Arial"/>
          <w:color w:val="000000" w:themeColor="text1"/>
          <w:sz w:val="16"/>
          <w:szCs w:val="16"/>
        </w:rPr>
      </w:pPr>
      <w:r w:rsidRPr="00F95EDA">
        <w:rPr>
          <w:rFonts w:ascii="Arial" w:hAnsi="Arial" w:cs="Arial"/>
          <w:color w:val="000000" w:themeColor="text1"/>
          <w:sz w:val="14"/>
          <w:szCs w:val="16"/>
        </w:rPr>
        <w:t>Table-1: Demographic data (n=62)</w:t>
      </w:r>
    </w:p>
    <w:tbl>
      <w:tblPr>
        <w:tblW w:w="47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10"/>
        <w:gridCol w:w="1620"/>
      </w:tblGrid>
      <w:tr w:rsidR="00F95EDA" w:rsidRPr="00F95EDA" w:rsidTr="00E94244">
        <w:trPr>
          <w:trHeight w:val="20"/>
        </w:trPr>
        <w:tc>
          <w:tcPr>
            <w:tcW w:w="1442" w:type="pct"/>
          </w:tcPr>
          <w:p w:rsidR="00327975" w:rsidRPr="00F95EDA" w:rsidRDefault="00A4105C" w:rsidP="003E6C60">
            <w:pPr>
              <w:tabs>
                <w:tab w:val="left" w:pos="360"/>
                <w:tab w:val="left" w:pos="720"/>
              </w:tabs>
              <w:spacing w:after="0" w:line="240" w:lineRule="auto"/>
              <w:rPr>
                <w:rFonts w:ascii="Arial" w:hAnsi="Arial" w:cs="Arial"/>
                <w:b/>
                <w:bCs/>
                <w:color w:val="000000" w:themeColor="text1"/>
                <w:sz w:val="14"/>
                <w:szCs w:val="16"/>
              </w:rPr>
            </w:pPr>
            <w:r w:rsidRPr="00F95EDA">
              <w:rPr>
                <w:rFonts w:ascii="Arial" w:hAnsi="Arial" w:cs="Arial"/>
                <w:b/>
                <w:bCs/>
                <w:color w:val="000000" w:themeColor="text1"/>
                <w:sz w:val="14"/>
                <w:szCs w:val="16"/>
              </w:rPr>
              <w:t>Parameters</w:t>
            </w:r>
          </w:p>
        </w:tc>
        <w:tc>
          <w:tcPr>
            <w:tcW w:w="1827" w:type="pct"/>
            <w:shd w:val="clear" w:color="auto" w:fill="auto"/>
            <w:vAlign w:val="center"/>
          </w:tcPr>
          <w:p w:rsidR="00327975" w:rsidRPr="00F95EDA" w:rsidRDefault="00A4105C" w:rsidP="002A4926">
            <w:pPr>
              <w:tabs>
                <w:tab w:val="left" w:pos="360"/>
                <w:tab w:val="left" w:pos="720"/>
              </w:tabs>
              <w:spacing w:after="0" w:line="240" w:lineRule="auto"/>
              <w:jc w:val="center"/>
              <w:rPr>
                <w:rFonts w:ascii="Arial" w:hAnsi="Arial" w:cs="Arial"/>
                <w:b/>
                <w:bCs/>
                <w:color w:val="000000" w:themeColor="text1"/>
                <w:sz w:val="14"/>
                <w:szCs w:val="16"/>
              </w:rPr>
            </w:pPr>
            <w:r w:rsidRPr="00F95EDA">
              <w:rPr>
                <w:rFonts w:ascii="Arial" w:hAnsi="Arial" w:cs="Arial"/>
                <w:b/>
                <w:bCs/>
                <w:color w:val="000000" w:themeColor="text1"/>
                <w:sz w:val="14"/>
                <w:szCs w:val="16"/>
              </w:rPr>
              <w:t>Groups</w:t>
            </w:r>
          </w:p>
        </w:tc>
        <w:tc>
          <w:tcPr>
            <w:tcW w:w="1731" w:type="pct"/>
            <w:shd w:val="clear" w:color="auto" w:fill="auto"/>
          </w:tcPr>
          <w:p w:rsidR="00327975" w:rsidRPr="00F95EDA" w:rsidRDefault="00A4105C" w:rsidP="002A4926">
            <w:pPr>
              <w:tabs>
                <w:tab w:val="left" w:pos="360"/>
                <w:tab w:val="left" w:pos="720"/>
              </w:tabs>
              <w:spacing w:after="0" w:line="240" w:lineRule="auto"/>
              <w:jc w:val="center"/>
              <w:rPr>
                <w:rFonts w:ascii="Arial" w:hAnsi="Arial" w:cs="Arial"/>
                <w:b/>
                <w:bCs/>
                <w:color w:val="000000" w:themeColor="text1"/>
                <w:sz w:val="14"/>
                <w:szCs w:val="16"/>
              </w:rPr>
            </w:pPr>
            <w:r w:rsidRPr="00F95EDA">
              <w:rPr>
                <w:rFonts w:ascii="Arial" w:hAnsi="Arial" w:cs="Arial"/>
                <w:b/>
                <w:bCs/>
                <w:color w:val="000000" w:themeColor="text1"/>
                <w:sz w:val="14"/>
                <w:szCs w:val="16"/>
              </w:rPr>
              <w:t>Frequency</w:t>
            </w:r>
            <w:r w:rsidR="00C10EAF" w:rsidRPr="00F95EDA">
              <w:rPr>
                <w:rFonts w:ascii="Arial" w:hAnsi="Arial" w:cs="Arial"/>
                <w:b/>
                <w:bCs/>
                <w:color w:val="000000" w:themeColor="text1"/>
                <w:sz w:val="14"/>
                <w:szCs w:val="16"/>
              </w:rPr>
              <w:t xml:space="preserve"> </w:t>
            </w:r>
            <w:r w:rsidRPr="00F95EDA">
              <w:rPr>
                <w:rFonts w:ascii="Arial" w:hAnsi="Arial" w:cs="Arial"/>
                <w:b/>
                <w:bCs/>
                <w:color w:val="000000" w:themeColor="text1"/>
                <w:sz w:val="14"/>
                <w:szCs w:val="16"/>
              </w:rPr>
              <w:t>(%)</w:t>
            </w:r>
            <w:r w:rsidR="00327975" w:rsidRPr="00F95EDA">
              <w:rPr>
                <w:rFonts w:ascii="Arial" w:hAnsi="Arial" w:cs="Arial"/>
                <w:b/>
                <w:bCs/>
                <w:color w:val="000000" w:themeColor="text1"/>
                <w:sz w:val="14"/>
                <w:szCs w:val="16"/>
              </w:rPr>
              <w:t xml:space="preserve"> </w:t>
            </w:r>
          </w:p>
        </w:tc>
      </w:tr>
      <w:tr w:rsidR="00F95EDA" w:rsidRPr="00F95EDA" w:rsidTr="00E94244">
        <w:trPr>
          <w:trHeight w:val="20"/>
        </w:trPr>
        <w:tc>
          <w:tcPr>
            <w:tcW w:w="1442" w:type="pct"/>
            <w:vMerge w:val="restart"/>
          </w:tcPr>
          <w:p w:rsidR="0018202F" w:rsidRPr="00F95EDA" w:rsidRDefault="0018202F" w:rsidP="003E6C60">
            <w:pPr>
              <w:tabs>
                <w:tab w:val="left" w:pos="360"/>
                <w:tab w:val="left" w:pos="720"/>
              </w:tabs>
              <w:spacing w:after="0" w:line="240" w:lineRule="auto"/>
              <w:rPr>
                <w:rFonts w:ascii="Arial" w:hAnsi="Arial" w:cs="Arial"/>
                <w:bCs/>
                <w:color w:val="000000" w:themeColor="text1"/>
                <w:sz w:val="14"/>
                <w:szCs w:val="16"/>
              </w:rPr>
            </w:pPr>
          </w:p>
          <w:p w:rsidR="0018202F" w:rsidRPr="00F95EDA" w:rsidRDefault="0018202F" w:rsidP="003E6C60">
            <w:pPr>
              <w:tabs>
                <w:tab w:val="left" w:pos="360"/>
                <w:tab w:val="left" w:pos="720"/>
              </w:tabs>
              <w:spacing w:after="0" w:line="240" w:lineRule="auto"/>
              <w:rPr>
                <w:rFonts w:ascii="Arial" w:hAnsi="Arial" w:cs="Arial"/>
                <w:bCs/>
                <w:color w:val="000000" w:themeColor="text1"/>
                <w:sz w:val="14"/>
                <w:szCs w:val="16"/>
              </w:rPr>
            </w:pPr>
            <w:r w:rsidRPr="00F95EDA">
              <w:rPr>
                <w:rFonts w:ascii="Arial" w:hAnsi="Arial" w:cs="Arial"/>
                <w:bCs/>
                <w:color w:val="000000" w:themeColor="text1"/>
                <w:sz w:val="14"/>
                <w:szCs w:val="16"/>
              </w:rPr>
              <w:t>Age (years)</w:t>
            </w:r>
          </w:p>
        </w:tc>
        <w:tc>
          <w:tcPr>
            <w:tcW w:w="1827" w:type="pct"/>
            <w:shd w:val="clear" w:color="auto" w:fill="auto"/>
            <w:vAlign w:val="center"/>
          </w:tcPr>
          <w:p w:rsidR="0018202F" w:rsidRPr="00F95EDA" w:rsidRDefault="0018202F" w:rsidP="002A4926">
            <w:pPr>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35-45</w:t>
            </w:r>
          </w:p>
        </w:tc>
        <w:tc>
          <w:tcPr>
            <w:tcW w:w="1731" w:type="pct"/>
            <w:shd w:val="clear" w:color="auto" w:fill="auto"/>
          </w:tcPr>
          <w:p w:rsidR="0018202F" w:rsidRPr="00F95EDA" w:rsidRDefault="0018202F" w:rsidP="002A4926">
            <w:pPr>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21(33.9%)</w:t>
            </w:r>
          </w:p>
        </w:tc>
      </w:tr>
      <w:tr w:rsidR="00F95EDA" w:rsidRPr="00F95EDA" w:rsidTr="00E94244">
        <w:trPr>
          <w:trHeight w:val="20"/>
        </w:trPr>
        <w:tc>
          <w:tcPr>
            <w:tcW w:w="1442" w:type="pct"/>
            <w:vMerge/>
          </w:tcPr>
          <w:p w:rsidR="0018202F" w:rsidRPr="00F95EDA" w:rsidRDefault="0018202F" w:rsidP="003E6C60">
            <w:pPr>
              <w:tabs>
                <w:tab w:val="left" w:pos="360"/>
                <w:tab w:val="left" w:pos="720"/>
              </w:tabs>
              <w:spacing w:after="0" w:line="240" w:lineRule="auto"/>
              <w:rPr>
                <w:rFonts w:ascii="Arial" w:hAnsi="Arial" w:cs="Arial"/>
                <w:bCs/>
                <w:color w:val="000000" w:themeColor="text1"/>
                <w:sz w:val="14"/>
                <w:szCs w:val="16"/>
              </w:rPr>
            </w:pPr>
          </w:p>
        </w:tc>
        <w:tc>
          <w:tcPr>
            <w:tcW w:w="1827" w:type="pct"/>
            <w:shd w:val="clear" w:color="auto" w:fill="auto"/>
            <w:vAlign w:val="center"/>
          </w:tcPr>
          <w:p w:rsidR="0018202F" w:rsidRPr="00F95EDA" w:rsidRDefault="0018202F" w:rsidP="002A4926">
            <w:pPr>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46-55</w:t>
            </w:r>
          </w:p>
        </w:tc>
        <w:tc>
          <w:tcPr>
            <w:tcW w:w="1731" w:type="pct"/>
            <w:shd w:val="clear" w:color="auto" w:fill="auto"/>
          </w:tcPr>
          <w:p w:rsidR="0018202F" w:rsidRPr="00F95EDA" w:rsidRDefault="0018202F" w:rsidP="002A4926">
            <w:pPr>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17(27.4%)</w:t>
            </w:r>
          </w:p>
        </w:tc>
      </w:tr>
      <w:tr w:rsidR="00F95EDA" w:rsidRPr="00F95EDA" w:rsidTr="00E94244">
        <w:trPr>
          <w:trHeight w:val="20"/>
        </w:trPr>
        <w:tc>
          <w:tcPr>
            <w:tcW w:w="1442" w:type="pct"/>
            <w:vMerge/>
          </w:tcPr>
          <w:p w:rsidR="0018202F" w:rsidRPr="00F95EDA" w:rsidRDefault="0018202F" w:rsidP="003E6C60">
            <w:pPr>
              <w:tabs>
                <w:tab w:val="left" w:pos="360"/>
                <w:tab w:val="left" w:pos="720"/>
              </w:tabs>
              <w:spacing w:after="0" w:line="240" w:lineRule="auto"/>
              <w:rPr>
                <w:rFonts w:ascii="Arial" w:hAnsi="Arial" w:cs="Arial"/>
                <w:bCs/>
                <w:color w:val="000000" w:themeColor="text1"/>
                <w:sz w:val="14"/>
                <w:szCs w:val="16"/>
              </w:rPr>
            </w:pPr>
          </w:p>
        </w:tc>
        <w:tc>
          <w:tcPr>
            <w:tcW w:w="1827" w:type="pct"/>
            <w:shd w:val="clear" w:color="auto" w:fill="auto"/>
            <w:vAlign w:val="center"/>
          </w:tcPr>
          <w:p w:rsidR="0018202F" w:rsidRPr="00F95EDA" w:rsidRDefault="0018202F" w:rsidP="002A4926">
            <w:pPr>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56-65</w:t>
            </w:r>
          </w:p>
        </w:tc>
        <w:tc>
          <w:tcPr>
            <w:tcW w:w="1731" w:type="pct"/>
            <w:shd w:val="clear" w:color="auto" w:fill="auto"/>
          </w:tcPr>
          <w:p w:rsidR="0018202F" w:rsidRPr="00F95EDA" w:rsidRDefault="0018202F" w:rsidP="002A4926">
            <w:pPr>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24(38.7%)</w:t>
            </w:r>
          </w:p>
        </w:tc>
      </w:tr>
      <w:tr w:rsidR="00F95EDA" w:rsidRPr="00F95EDA" w:rsidTr="00E94244">
        <w:trPr>
          <w:trHeight w:val="20"/>
        </w:trPr>
        <w:tc>
          <w:tcPr>
            <w:tcW w:w="1442" w:type="pct"/>
            <w:vMerge/>
          </w:tcPr>
          <w:p w:rsidR="00CA6C56" w:rsidRPr="00F95EDA" w:rsidRDefault="00CA6C56" w:rsidP="003E6C60">
            <w:pPr>
              <w:tabs>
                <w:tab w:val="left" w:pos="360"/>
                <w:tab w:val="left" w:pos="720"/>
              </w:tabs>
              <w:spacing w:after="0" w:line="240" w:lineRule="auto"/>
              <w:rPr>
                <w:rFonts w:ascii="Arial" w:hAnsi="Arial" w:cs="Arial"/>
                <w:bCs/>
                <w:color w:val="000000" w:themeColor="text1"/>
                <w:sz w:val="14"/>
                <w:szCs w:val="16"/>
              </w:rPr>
            </w:pPr>
          </w:p>
        </w:tc>
        <w:tc>
          <w:tcPr>
            <w:tcW w:w="1827" w:type="pct"/>
            <w:shd w:val="clear" w:color="auto" w:fill="auto"/>
            <w:vAlign w:val="center"/>
          </w:tcPr>
          <w:p w:rsidR="00CA6C56" w:rsidRPr="00F95EDA" w:rsidRDefault="00CA6C56" w:rsidP="002A4926">
            <w:pPr>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Median IQR for Age</w:t>
            </w:r>
          </w:p>
        </w:tc>
        <w:tc>
          <w:tcPr>
            <w:tcW w:w="1731" w:type="pct"/>
            <w:shd w:val="clear" w:color="auto" w:fill="auto"/>
          </w:tcPr>
          <w:p w:rsidR="00CA6C56" w:rsidRPr="00F95EDA" w:rsidRDefault="00CA6C56" w:rsidP="002A4926">
            <w:pPr>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54.50 (41.75-60)</w:t>
            </w:r>
          </w:p>
        </w:tc>
      </w:tr>
      <w:tr w:rsidR="00F95EDA" w:rsidRPr="00F95EDA" w:rsidTr="00E94244">
        <w:trPr>
          <w:trHeight w:val="20"/>
        </w:trPr>
        <w:tc>
          <w:tcPr>
            <w:tcW w:w="1442" w:type="pct"/>
            <w:vMerge w:val="restart"/>
          </w:tcPr>
          <w:p w:rsidR="00337ACA" w:rsidRPr="00F95EDA" w:rsidRDefault="00337ACA" w:rsidP="003E6C60">
            <w:pPr>
              <w:tabs>
                <w:tab w:val="left" w:pos="360"/>
                <w:tab w:val="left" w:pos="720"/>
              </w:tabs>
              <w:spacing w:after="0" w:line="240" w:lineRule="auto"/>
              <w:rPr>
                <w:rFonts w:ascii="Arial" w:hAnsi="Arial" w:cs="Arial"/>
                <w:bCs/>
                <w:color w:val="000000" w:themeColor="text1"/>
                <w:sz w:val="14"/>
                <w:szCs w:val="16"/>
              </w:rPr>
            </w:pPr>
            <w:r w:rsidRPr="00F95EDA">
              <w:rPr>
                <w:rFonts w:ascii="Arial" w:hAnsi="Arial" w:cs="Arial"/>
                <w:color w:val="000000" w:themeColor="text1"/>
                <w:sz w:val="14"/>
                <w:szCs w:val="16"/>
              </w:rPr>
              <w:t>BMI (kg/m</w:t>
            </w:r>
            <w:r w:rsidRPr="00F95EDA">
              <w:rPr>
                <w:rFonts w:ascii="Arial" w:hAnsi="Arial" w:cs="Arial"/>
                <w:color w:val="000000" w:themeColor="text1"/>
                <w:sz w:val="14"/>
                <w:szCs w:val="16"/>
                <w:vertAlign w:val="superscript"/>
              </w:rPr>
              <w:t>2</w:t>
            </w:r>
            <w:r w:rsidRPr="00F95EDA">
              <w:rPr>
                <w:rFonts w:ascii="Arial" w:hAnsi="Arial" w:cs="Arial"/>
                <w:color w:val="000000" w:themeColor="text1"/>
                <w:sz w:val="14"/>
                <w:szCs w:val="16"/>
              </w:rPr>
              <w:t>)</w:t>
            </w:r>
          </w:p>
        </w:tc>
        <w:tc>
          <w:tcPr>
            <w:tcW w:w="1827" w:type="pct"/>
            <w:shd w:val="clear" w:color="auto" w:fill="auto"/>
            <w:vAlign w:val="center"/>
          </w:tcPr>
          <w:p w:rsidR="00337ACA" w:rsidRPr="00F95EDA" w:rsidRDefault="00337ACA" w:rsidP="002A4926">
            <w:pPr>
              <w:autoSpaceDE w:val="0"/>
              <w:autoSpaceDN w:val="0"/>
              <w:adjustRightInd w:val="0"/>
              <w:spacing w:after="0" w:line="240" w:lineRule="auto"/>
              <w:jc w:val="center"/>
              <w:rPr>
                <w:rFonts w:ascii="Arial" w:hAnsi="Arial" w:cs="Arial"/>
                <w:color w:val="000000" w:themeColor="text1"/>
                <w:sz w:val="14"/>
                <w:szCs w:val="16"/>
                <w:vertAlign w:val="superscript"/>
              </w:rPr>
            </w:pPr>
            <w:r w:rsidRPr="00F95EDA">
              <w:rPr>
                <w:rFonts w:ascii="Arial" w:hAnsi="Arial" w:cs="Arial"/>
                <w:color w:val="000000" w:themeColor="text1"/>
                <w:sz w:val="14"/>
                <w:szCs w:val="16"/>
              </w:rPr>
              <w:t>Normal Weight</w:t>
            </w:r>
          </w:p>
        </w:tc>
        <w:tc>
          <w:tcPr>
            <w:tcW w:w="1731" w:type="pct"/>
            <w:shd w:val="clear" w:color="auto" w:fill="auto"/>
          </w:tcPr>
          <w:p w:rsidR="00337ACA" w:rsidRPr="00F95EDA" w:rsidRDefault="00337ACA" w:rsidP="002A4926">
            <w:pPr>
              <w:autoSpaceDE w:val="0"/>
              <w:autoSpaceDN w:val="0"/>
              <w:adjustRightInd w:val="0"/>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7(11.3%)</w:t>
            </w:r>
          </w:p>
        </w:tc>
      </w:tr>
      <w:tr w:rsidR="00F95EDA" w:rsidRPr="00F95EDA" w:rsidTr="00E94244">
        <w:trPr>
          <w:trHeight w:val="20"/>
        </w:trPr>
        <w:tc>
          <w:tcPr>
            <w:tcW w:w="1442" w:type="pct"/>
            <w:vMerge/>
          </w:tcPr>
          <w:p w:rsidR="00337ACA" w:rsidRPr="00F95EDA" w:rsidRDefault="00337ACA" w:rsidP="002A4926">
            <w:pPr>
              <w:tabs>
                <w:tab w:val="left" w:pos="360"/>
                <w:tab w:val="left" w:pos="720"/>
              </w:tabs>
              <w:spacing w:after="0" w:line="240" w:lineRule="auto"/>
              <w:rPr>
                <w:rFonts w:ascii="Arial" w:hAnsi="Arial" w:cs="Arial"/>
                <w:b/>
                <w:bCs/>
                <w:color w:val="000000" w:themeColor="text1"/>
                <w:sz w:val="14"/>
                <w:szCs w:val="16"/>
              </w:rPr>
            </w:pPr>
          </w:p>
        </w:tc>
        <w:tc>
          <w:tcPr>
            <w:tcW w:w="1827" w:type="pct"/>
            <w:shd w:val="clear" w:color="auto" w:fill="auto"/>
            <w:vAlign w:val="center"/>
          </w:tcPr>
          <w:p w:rsidR="00337ACA" w:rsidRPr="00F95EDA" w:rsidRDefault="00337ACA" w:rsidP="002A4926">
            <w:pPr>
              <w:autoSpaceDE w:val="0"/>
              <w:autoSpaceDN w:val="0"/>
              <w:adjustRightInd w:val="0"/>
              <w:spacing w:after="0" w:line="240" w:lineRule="auto"/>
              <w:jc w:val="center"/>
              <w:rPr>
                <w:rFonts w:ascii="Arial" w:hAnsi="Arial" w:cs="Arial"/>
                <w:color w:val="000000" w:themeColor="text1"/>
                <w:sz w:val="14"/>
                <w:szCs w:val="16"/>
                <w:vertAlign w:val="superscript"/>
              </w:rPr>
            </w:pPr>
            <w:r w:rsidRPr="00F95EDA">
              <w:rPr>
                <w:rFonts w:ascii="Arial" w:hAnsi="Arial" w:cs="Arial"/>
                <w:color w:val="000000" w:themeColor="text1"/>
                <w:sz w:val="14"/>
                <w:szCs w:val="16"/>
              </w:rPr>
              <w:t>Over Weight</w:t>
            </w:r>
          </w:p>
        </w:tc>
        <w:tc>
          <w:tcPr>
            <w:tcW w:w="1731" w:type="pct"/>
            <w:shd w:val="clear" w:color="auto" w:fill="auto"/>
          </w:tcPr>
          <w:p w:rsidR="00337ACA" w:rsidRPr="00F95EDA" w:rsidRDefault="00337ACA" w:rsidP="002A4926">
            <w:pPr>
              <w:autoSpaceDE w:val="0"/>
              <w:autoSpaceDN w:val="0"/>
              <w:adjustRightInd w:val="0"/>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26(41.9%)</w:t>
            </w:r>
          </w:p>
        </w:tc>
      </w:tr>
      <w:tr w:rsidR="00F95EDA" w:rsidRPr="00F95EDA" w:rsidTr="00E94244">
        <w:trPr>
          <w:trHeight w:val="20"/>
        </w:trPr>
        <w:tc>
          <w:tcPr>
            <w:tcW w:w="1442" w:type="pct"/>
            <w:vMerge/>
          </w:tcPr>
          <w:p w:rsidR="00337ACA" w:rsidRPr="00F95EDA" w:rsidRDefault="00337ACA" w:rsidP="002A4926">
            <w:pPr>
              <w:tabs>
                <w:tab w:val="left" w:pos="360"/>
                <w:tab w:val="left" w:pos="720"/>
              </w:tabs>
              <w:spacing w:after="0" w:line="240" w:lineRule="auto"/>
              <w:rPr>
                <w:rFonts w:ascii="Arial" w:hAnsi="Arial" w:cs="Arial"/>
                <w:b/>
                <w:bCs/>
                <w:color w:val="000000" w:themeColor="text1"/>
                <w:sz w:val="14"/>
                <w:szCs w:val="16"/>
              </w:rPr>
            </w:pPr>
          </w:p>
        </w:tc>
        <w:tc>
          <w:tcPr>
            <w:tcW w:w="1827" w:type="pct"/>
            <w:shd w:val="clear" w:color="auto" w:fill="auto"/>
            <w:vAlign w:val="center"/>
          </w:tcPr>
          <w:p w:rsidR="00337ACA" w:rsidRPr="00F95EDA" w:rsidRDefault="00337ACA" w:rsidP="002A4926">
            <w:pPr>
              <w:autoSpaceDE w:val="0"/>
              <w:autoSpaceDN w:val="0"/>
              <w:adjustRightInd w:val="0"/>
              <w:spacing w:after="0" w:line="240" w:lineRule="auto"/>
              <w:jc w:val="center"/>
              <w:rPr>
                <w:rFonts w:ascii="Arial" w:hAnsi="Arial" w:cs="Arial"/>
                <w:color w:val="000000" w:themeColor="text1"/>
                <w:sz w:val="14"/>
                <w:szCs w:val="16"/>
                <w:vertAlign w:val="superscript"/>
              </w:rPr>
            </w:pPr>
            <w:r w:rsidRPr="00F95EDA">
              <w:rPr>
                <w:rFonts w:ascii="Arial" w:hAnsi="Arial" w:cs="Arial"/>
                <w:color w:val="000000" w:themeColor="text1"/>
                <w:sz w:val="14"/>
                <w:szCs w:val="16"/>
              </w:rPr>
              <w:t>Obese</w:t>
            </w:r>
          </w:p>
        </w:tc>
        <w:tc>
          <w:tcPr>
            <w:tcW w:w="1731" w:type="pct"/>
            <w:shd w:val="clear" w:color="auto" w:fill="auto"/>
          </w:tcPr>
          <w:p w:rsidR="00337ACA" w:rsidRPr="00F95EDA" w:rsidRDefault="00337ACA" w:rsidP="002A4926">
            <w:pPr>
              <w:autoSpaceDE w:val="0"/>
              <w:autoSpaceDN w:val="0"/>
              <w:adjustRightInd w:val="0"/>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29(46.8%)</w:t>
            </w:r>
          </w:p>
        </w:tc>
      </w:tr>
      <w:tr w:rsidR="00F95EDA" w:rsidRPr="00F95EDA" w:rsidTr="00E94244">
        <w:trPr>
          <w:trHeight w:val="20"/>
        </w:trPr>
        <w:tc>
          <w:tcPr>
            <w:tcW w:w="1442" w:type="pct"/>
            <w:vMerge/>
          </w:tcPr>
          <w:p w:rsidR="00337ACA" w:rsidRPr="00F95EDA" w:rsidRDefault="00337ACA" w:rsidP="002A4926">
            <w:pPr>
              <w:tabs>
                <w:tab w:val="left" w:pos="360"/>
                <w:tab w:val="left" w:pos="720"/>
              </w:tabs>
              <w:spacing w:after="0" w:line="240" w:lineRule="auto"/>
              <w:rPr>
                <w:rFonts w:ascii="Arial" w:hAnsi="Arial" w:cs="Arial"/>
                <w:b/>
                <w:bCs/>
                <w:color w:val="000000" w:themeColor="text1"/>
                <w:sz w:val="14"/>
                <w:szCs w:val="16"/>
              </w:rPr>
            </w:pPr>
          </w:p>
        </w:tc>
        <w:tc>
          <w:tcPr>
            <w:tcW w:w="1827" w:type="pct"/>
            <w:shd w:val="clear" w:color="auto" w:fill="auto"/>
          </w:tcPr>
          <w:p w:rsidR="00337ACA" w:rsidRPr="00F95EDA" w:rsidRDefault="00337ACA" w:rsidP="002A4926">
            <w:pPr>
              <w:tabs>
                <w:tab w:val="left" w:pos="360"/>
                <w:tab w:val="left" w:pos="720"/>
              </w:tabs>
              <w:spacing w:after="0" w:line="240" w:lineRule="auto"/>
              <w:rPr>
                <w:rFonts w:ascii="Arial" w:hAnsi="Arial" w:cs="Arial"/>
                <w:bCs/>
                <w:color w:val="000000" w:themeColor="text1"/>
                <w:sz w:val="14"/>
                <w:szCs w:val="16"/>
              </w:rPr>
            </w:pPr>
            <w:r w:rsidRPr="00F95EDA">
              <w:rPr>
                <w:rFonts w:ascii="Arial" w:hAnsi="Arial" w:cs="Arial"/>
                <w:bCs/>
                <w:color w:val="000000" w:themeColor="text1"/>
                <w:sz w:val="14"/>
                <w:szCs w:val="16"/>
              </w:rPr>
              <w:t>Mean ± SD</w:t>
            </w:r>
          </w:p>
        </w:tc>
        <w:tc>
          <w:tcPr>
            <w:tcW w:w="1731" w:type="pct"/>
            <w:shd w:val="clear" w:color="auto" w:fill="auto"/>
            <w:vAlign w:val="center"/>
          </w:tcPr>
          <w:p w:rsidR="00337ACA" w:rsidRPr="00F95EDA" w:rsidRDefault="00F45912" w:rsidP="002A4926">
            <w:pPr>
              <w:spacing w:after="0" w:line="240" w:lineRule="auto"/>
              <w:jc w:val="center"/>
              <w:rPr>
                <w:rFonts w:ascii="Arial" w:hAnsi="Arial" w:cs="Arial"/>
                <w:color w:val="000000" w:themeColor="text1"/>
                <w:sz w:val="14"/>
                <w:szCs w:val="16"/>
              </w:rPr>
            </w:pPr>
            <w:r w:rsidRPr="00F95EDA">
              <w:rPr>
                <w:rFonts w:ascii="Arial" w:hAnsi="Arial" w:cs="Arial"/>
                <w:color w:val="000000" w:themeColor="text1"/>
                <w:sz w:val="14"/>
                <w:szCs w:val="16"/>
              </w:rPr>
              <w:t>27.85±3.88</w:t>
            </w:r>
          </w:p>
        </w:tc>
      </w:tr>
    </w:tbl>
    <w:p w:rsidR="00E94244" w:rsidRPr="00F95EDA" w:rsidRDefault="00E94244" w:rsidP="002A4926">
      <w:pPr>
        <w:pStyle w:val="BodyText"/>
        <w:jc w:val="both"/>
        <w:rPr>
          <w:rFonts w:ascii="Arial" w:hAnsi="Arial" w:cs="Arial"/>
          <w:color w:val="000000" w:themeColor="text1"/>
          <w:sz w:val="16"/>
          <w:szCs w:val="16"/>
        </w:rPr>
      </w:pPr>
    </w:p>
    <w:p w:rsidR="003E6C60" w:rsidRPr="00F95EDA" w:rsidRDefault="00CD2FAE" w:rsidP="002A4926">
      <w:pPr>
        <w:pStyle w:val="BodyText"/>
        <w:jc w:val="both"/>
        <w:rPr>
          <w:rFonts w:ascii="Arial" w:hAnsi="Arial" w:cs="Arial"/>
          <w:color w:val="000000" w:themeColor="text1"/>
          <w:sz w:val="16"/>
          <w:szCs w:val="16"/>
        </w:rPr>
      </w:pPr>
      <w:r w:rsidRPr="00F95EDA">
        <w:rPr>
          <w:rFonts w:ascii="Arial" w:hAnsi="Arial" w:cs="Arial"/>
          <w:color w:val="000000" w:themeColor="text1"/>
          <w:sz w:val="16"/>
          <w:szCs w:val="16"/>
        </w:rPr>
        <w:t>Different types of hypertrophies were demonstrated by echo. Our results showed c</w:t>
      </w:r>
      <w:r w:rsidR="00712F99" w:rsidRPr="00F95EDA">
        <w:rPr>
          <w:rFonts w:ascii="Arial" w:hAnsi="Arial" w:cs="Arial"/>
          <w:color w:val="000000" w:themeColor="text1"/>
          <w:sz w:val="16"/>
          <w:szCs w:val="16"/>
        </w:rPr>
        <w:t>oncentric hypertrophy in 27(43.5%) patients as shown by</w:t>
      </w:r>
      <w:r w:rsidR="006F73EF" w:rsidRPr="00F95EDA">
        <w:rPr>
          <w:rFonts w:ascii="Arial" w:hAnsi="Arial" w:cs="Arial"/>
          <w:color w:val="000000" w:themeColor="text1"/>
          <w:sz w:val="16"/>
          <w:szCs w:val="16"/>
        </w:rPr>
        <w:t xml:space="preserve"> </w:t>
      </w:r>
      <w:r w:rsidR="00E94244" w:rsidRPr="00F95EDA">
        <w:rPr>
          <w:rFonts w:ascii="Arial" w:hAnsi="Arial" w:cs="Arial"/>
          <w:color w:val="000000" w:themeColor="text1"/>
          <w:sz w:val="16"/>
          <w:szCs w:val="16"/>
        </w:rPr>
        <w:t>Various echocardiographic parameters were presented as frequency in table-2.</w:t>
      </w:r>
    </w:p>
    <w:p w:rsidR="003E6C60" w:rsidRPr="00F95EDA" w:rsidRDefault="003E6C60" w:rsidP="002A4926">
      <w:pPr>
        <w:pStyle w:val="BodyText"/>
        <w:jc w:val="both"/>
        <w:rPr>
          <w:rFonts w:ascii="Arial" w:hAnsi="Arial" w:cs="Arial"/>
          <w:color w:val="000000" w:themeColor="text1"/>
          <w:sz w:val="16"/>
          <w:szCs w:val="16"/>
        </w:rPr>
      </w:pPr>
    </w:p>
    <w:p w:rsidR="003E6C60" w:rsidRPr="00F95EDA" w:rsidRDefault="003E6C60" w:rsidP="002A4926">
      <w:pPr>
        <w:pStyle w:val="BodyText"/>
        <w:jc w:val="both"/>
        <w:rPr>
          <w:rFonts w:ascii="Arial" w:eastAsiaTheme="minorHAnsi" w:hAnsi="Arial" w:cs="Arial"/>
          <w:color w:val="000000" w:themeColor="text1"/>
          <w:sz w:val="16"/>
          <w:szCs w:val="16"/>
        </w:rPr>
      </w:pPr>
      <w:r w:rsidRPr="00F95EDA">
        <w:rPr>
          <w:rFonts w:ascii="Arial" w:hAnsi="Arial" w:cs="Arial"/>
          <w:noProof/>
          <w:color w:val="000000" w:themeColor="text1"/>
          <w:sz w:val="14"/>
          <w:szCs w:val="16"/>
        </w:rPr>
        <w:t>Figure-1: Concentric Hypertrophy on Echocardiography</w:t>
      </w:r>
      <w:r w:rsidRPr="00F95EDA">
        <w:rPr>
          <w:rFonts w:ascii="Arial" w:eastAsiaTheme="minorHAnsi" w:hAnsi="Arial" w:cs="Arial"/>
          <w:color w:val="000000" w:themeColor="text1"/>
          <w:sz w:val="16"/>
          <w:szCs w:val="16"/>
        </w:rPr>
        <w:t xml:space="preserve"> </w:t>
      </w:r>
    </w:p>
    <w:p w:rsidR="00712F99" w:rsidRPr="00F95EDA" w:rsidRDefault="00712F99" w:rsidP="002A4926">
      <w:pPr>
        <w:pStyle w:val="BodyText"/>
        <w:jc w:val="both"/>
        <w:rPr>
          <w:rFonts w:ascii="Arial" w:hAnsi="Arial" w:cs="Arial"/>
          <w:color w:val="000000" w:themeColor="text1"/>
          <w:sz w:val="16"/>
          <w:szCs w:val="16"/>
        </w:rPr>
      </w:pPr>
      <w:r w:rsidRPr="00F95EDA">
        <w:rPr>
          <w:rFonts w:ascii="Arial" w:eastAsiaTheme="minorHAnsi" w:hAnsi="Arial" w:cs="Arial"/>
          <w:color w:val="000000" w:themeColor="text1"/>
          <w:sz w:val="16"/>
          <w:szCs w:val="16"/>
        </w:rPr>
        <w:t>.</w:t>
      </w:r>
      <w:r w:rsidR="006F73EF" w:rsidRPr="00F95EDA">
        <w:rPr>
          <w:rFonts w:ascii="Arial" w:hAnsi="Arial" w:cs="Arial"/>
          <w:noProof/>
          <w:color w:val="000000" w:themeColor="text1"/>
          <w:sz w:val="16"/>
          <w:szCs w:val="16"/>
        </w:rPr>
        <w:t xml:space="preserve"> </w:t>
      </w:r>
      <w:r w:rsidR="006F73EF" w:rsidRPr="00F95EDA">
        <w:rPr>
          <w:rFonts w:ascii="Arial" w:hAnsi="Arial" w:cs="Arial"/>
          <w:noProof/>
          <w:color w:val="000000" w:themeColor="text1"/>
          <w:sz w:val="16"/>
          <w:szCs w:val="16"/>
          <w:lang w:bidi="ar-SA"/>
        </w:rPr>
        <w:drawing>
          <wp:inline distT="0" distB="0" distL="0" distR="0" wp14:anchorId="678D763A" wp14:editId="38FD8AA1">
            <wp:extent cx="2933699" cy="1309687"/>
            <wp:effectExtent l="19050" t="0" r="1"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lum bright="-20000" contrast="20000"/>
                    </a:blip>
                    <a:srcRect l="2031" r="1776" b="15501"/>
                    <a:stretch>
                      <a:fillRect/>
                    </a:stretch>
                  </pic:blipFill>
                  <pic:spPr bwMode="auto">
                    <a:xfrm>
                      <a:off x="0" y="0"/>
                      <a:ext cx="2933699" cy="1309687"/>
                    </a:xfrm>
                    <a:prstGeom prst="rect">
                      <a:avLst/>
                    </a:prstGeom>
                    <a:noFill/>
                    <a:ln w="9525">
                      <a:noFill/>
                      <a:miter lim="800000"/>
                      <a:headEnd/>
                      <a:tailEnd/>
                    </a:ln>
                  </pic:spPr>
                </pic:pic>
              </a:graphicData>
            </a:graphic>
          </wp:inline>
        </w:drawing>
      </w:r>
    </w:p>
    <w:p w:rsidR="003D1851" w:rsidRPr="00F95EDA" w:rsidRDefault="003D1851" w:rsidP="002A4926">
      <w:pPr>
        <w:pStyle w:val="Caption"/>
        <w:spacing w:line="240" w:lineRule="auto"/>
        <w:jc w:val="both"/>
        <w:rPr>
          <w:rFonts w:ascii="Arial" w:hAnsi="Arial" w:cs="Arial"/>
          <w:b w:val="0"/>
          <w:bCs w:val="0"/>
          <w:color w:val="000000" w:themeColor="text1"/>
          <w:sz w:val="16"/>
          <w:szCs w:val="16"/>
        </w:rPr>
      </w:pPr>
    </w:p>
    <w:p w:rsidR="00600FC8" w:rsidRPr="00F95EDA" w:rsidRDefault="00600FC8" w:rsidP="002A4926">
      <w:pPr>
        <w:spacing w:after="0" w:line="240" w:lineRule="auto"/>
        <w:jc w:val="both"/>
        <w:rPr>
          <w:rFonts w:ascii="Arial" w:hAnsi="Arial" w:cs="Arial"/>
          <w:color w:val="000000" w:themeColor="text1"/>
          <w:sz w:val="14"/>
          <w:szCs w:val="16"/>
        </w:rPr>
      </w:pPr>
      <w:r w:rsidRPr="00F95EDA">
        <w:rPr>
          <w:rFonts w:ascii="Arial" w:hAnsi="Arial" w:cs="Arial"/>
          <w:color w:val="000000" w:themeColor="text1"/>
          <w:sz w:val="14"/>
          <w:szCs w:val="16"/>
        </w:rPr>
        <w:t xml:space="preserve">Table-2: Frequency </w:t>
      </w:r>
      <w:r w:rsidR="00EA0AF0" w:rsidRPr="00F95EDA">
        <w:rPr>
          <w:rFonts w:ascii="Arial" w:hAnsi="Arial" w:cs="Arial"/>
          <w:color w:val="000000" w:themeColor="text1"/>
          <w:sz w:val="14"/>
          <w:szCs w:val="16"/>
        </w:rPr>
        <w:t>distribution of echocardiographic parameters</w:t>
      </w:r>
    </w:p>
    <w:tbl>
      <w:tblPr>
        <w:tblStyle w:val="TableGrid"/>
        <w:tblW w:w="0" w:type="auto"/>
        <w:tblInd w:w="108" w:type="dxa"/>
        <w:tblLook w:val="04A0" w:firstRow="1" w:lastRow="0" w:firstColumn="1" w:lastColumn="0" w:noHBand="0" w:noVBand="1"/>
      </w:tblPr>
      <w:tblGrid>
        <w:gridCol w:w="1710"/>
        <w:gridCol w:w="1440"/>
        <w:gridCol w:w="1440"/>
      </w:tblGrid>
      <w:tr w:rsidR="00F95EDA" w:rsidRPr="00F95EDA" w:rsidTr="000F6814">
        <w:tc>
          <w:tcPr>
            <w:tcW w:w="1710" w:type="dxa"/>
            <w:vAlign w:val="center"/>
          </w:tcPr>
          <w:p w:rsidR="00600FC8" w:rsidRPr="00F95EDA" w:rsidRDefault="00600FC8" w:rsidP="00600FC8">
            <w:pPr>
              <w:pStyle w:val="BodyText"/>
              <w:rPr>
                <w:rFonts w:ascii="Arial" w:hAnsi="Arial" w:cs="Arial"/>
                <w:b/>
                <w:color w:val="000000" w:themeColor="text1"/>
                <w:sz w:val="14"/>
                <w:szCs w:val="16"/>
              </w:rPr>
            </w:pPr>
            <w:r w:rsidRPr="00F95EDA">
              <w:rPr>
                <w:rFonts w:ascii="Arial" w:hAnsi="Arial" w:cs="Arial"/>
                <w:b/>
                <w:color w:val="000000" w:themeColor="text1"/>
                <w:sz w:val="14"/>
                <w:szCs w:val="16"/>
              </w:rPr>
              <w:t>Variable</w:t>
            </w:r>
          </w:p>
        </w:tc>
        <w:tc>
          <w:tcPr>
            <w:tcW w:w="1440" w:type="dxa"/>
            <w:vAlign w:val="center"/>
          </w:tcPr>
          <w:p w:rsidR="00600FC8" w:rsidRPr="00F95EDA" w:rsidRDefault="00600FC8" w:rsidP="00600FC8">
            <w:pPr>
              <w:pStyle w:val="BodyText"/>
              <w:jc w:val="center"/>
              <w:rPr>
                <w:rFonts w:ascii="Arial" w:hAnsi="Arial" w:cs="Arial"/>
                <w:b/>
                <w:color w:val="000000" w:themeColor="text1"/>
                <w:sz w:val="14"/>
                <w:szCs w:val="16"/>
              </w:rPr>
            </w:pPr>
            <w:r w:rsidRPr="00F95EDA">
              <w:rPr>
                <w:rFonts w:ascii="Arial" w:hAnsi="Arial" w:cs="Arial"/>
                <w:b/>
                <w:color w:val="000000" w:themeColor="text1"/>
                <w:sz w:val="14"/>
                <w:szCs w:val="16"/>
              </w:rPr>
              <w:t>Status</w:t>
            </w:r>
          </w:p>
        </w:tc>
        <w:tc>
          <w:tcPr>
            <w:tcW w:w="1440" w:type="dxa"/>
            <w:vAlign w:val="center"/>
          </w:tcPr>
          <w:p w:rsidR="00600FC8" w:rsidRPr="00F95EDA" w:rsidRDefault="00600FC8" w:rsidP="00600FC8">
            <w:pPr>
              <w:pStyle w:val="BodyText"/>
              <w:jc w:val="center"/>
              <w:rPr>
                <w:rFonts w:ascii="Arial" w:hAnsi="Arial" w:cs="Arial"/>
                <w:b/>
                <w:color w:val="000000" w:themeColor="text1"/>
                <w:sz w:val="14"/>
                <w:szCs w:val="16"/>
              </w:rPr>
            </w:pPr>
            <w:r w:rsidRPr="00F95EDA">
              <w:rPr>
                <w:rFonts w:ascii="Arial" w:hAnsi="Arial" w:cs="Arial"/>
                <w:b/>
                <w:color w:val="000000" w:themeColor="text1"/>
                <w:sz w:val="14"/>
                <w:szCs w:val="16"/>
              </w:rPr>
              <w:t xml:space="preserve">Frequency </w:t>
            </w:r>
          </w:p>
        </w:tc>
      </w:tr>
      <w:tr w:rsidR="00F95EDA" w:rsidRPr="00F95EDA" w:rsidTr="0035220E">
        <w:tc>
          <w:tcPr>
            <w:tcW w:w="1710" w:type="dxa"/>
            <w:vMerge w:val="restart"/>
            <w:vAlign w:val="center"/>
          </w:tcPr>
          <w:p w:rsidR="00600FC8" w:rsidRPr="00F95EDA" w:rsidRDefault="00600FC8" w:rsidP="00600FC8">
            <w:pPr>
              <w:pStyle w:val="BodyText"/>
              <w:rPr>
                <w:rFonts w:ascii="Arial" w:hAnsi="Arial" w:cs="Arial"/>
                <w:color w:val="000000" w:themeColor="text1"/>
                <w:sz w:val="14"/>
                <w:szCs w:val="16"/>
              </w:rPr>
            </w:pPr>
            <w:r w:rsidRPr="00F95EDA">
              <w:rPr>
                <w:rFonts w:ascii="Arial" w:hAnsi="Arial" w:cs="Arial"/>
                <w:color w:val="000000" w:themeColor="text1"/>
                <w:sz w:val="14"/>
                <w:szCs w:val="16"/>
              </w:rPr>
              <w:t>LVH</w:t>
            </w:r>
          </w:p>
        </w:tc>
        <w:tc>
          <w:tcPr>
            <w:tcW w:w="1440" w:type="dxa"/>
            <w:vAlign w:val="bottom"/>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 xml:space="preserve">Positive </w:t>
            </w:r>
          </w:p>
        </w:tc>
        <w:tc>
          <w:tcPr>
            <w:tcW w:w="1440" w:type="dxa"/>
            <w:vAlign w:val="bottom"/>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 xml:space="preserve">41 </w:t>
            </w:r>
          </w:p>
        </w:tc>
      </w:tr>
      <w:tr w:rsidR="00F95EDA" w:rsidRPr="00F95EDA" w:rsidTr="0035220E">
        <w:tc>
          <w:tcPr>
            <w:tcW w:w="1710" w:type="dxa"/>
            <w:vMerge/>
            <w:vAlign w:val="center"/>
          </w:tcPr>
          <w:p w:rsidR="00600FC8" w:rsidRPr="00F95EDA" w:rsidRDefault="00600FC8" w:rsidP="00600FC8">
            <w:pPr>
              <w:pStyle w:val="BodyText"/>
              <w:rPr>
                <w:rFonts w:ascii="Arial" w:hAnsi="Arial" w:cs="Arial"/>
                <w:color w:val="000000" w:themeColor="text1"/>
                <w:sz w:val="14"/>
                <w:szCs w:val="16"/>
              </w:rPr>
            </w:pPr>
          </w:p>
        </w:tc>
        <w:tc>
          <w:tcPr>
            <w:tcW w:w="1440" w:type="dxa"/>
            <w:vAlign w:val="bottom"/>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Negative</w:t>
            </w:r>
          </w:p>
        </w:tc>
        <w:tc>
          <w:tcPr>
            <w:tcW w:w="1440" w:type="dxa"/>
            <w:vAlign w:val="bottom"/>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 xml:space="preserve">21 </w:t>
            </w:r>
          </w:p>
        </w:tc>
      </w:tr>
      <w:tr w:rsidR="00F95EDA" w:rsidRPr="00F95EDA" w:rsidTr="00600FC8">
        <w:tc>
          <w:tcPr>
            <w:tcW w:w="1710" w:type="dxa"/>
            <w:vMerge w:val="restart"/>
          </w:tcPr>
          <w:p w:rsidR="00600FC8" w:rsidRPr="00F95EDA" w:rsidRDefault="00600FC8" w:rsidP="00600FC8">
            <w:pPr>
              <w:pStyle w:val="BodyText"/>
              <w:rPr>
                <w:rFonts w:ascii="Arial" w:hAnsi="Arial" w:cs="Arial"/>
                <w:color w:val="000000" w:themeColor="text1"/>
                <w:sz w:val="14"/>
                <w:szCs w:val="16"/>
              </w:rPr>
            </w:pPr>
            <w:r w:rsidRPr="00F95EDA">
              <w:rPr>
                <w:rFonts w:ascii="Arial" w:hAnsi="Arial" w:cs="Arial"/>
                <w:color w:val="000000" w:themeColor="text1"/>
                <w:sz w:val="14"/>
                <w:szCs w:val="16"/>
              </w:rPr>
              <w:t>LVMI For Female (g/m</w:t>
            </w:r>
            <w:r w:rsidRPr="00F95EDA">
              <w:rPr>
                <w:rFonts w:ascii="Arial" w:hAnsi="Arial" w:cs="Arial"/>
                <w:color w:val="000000" w:themeColor="text1"/>
                <w:sz w:val="14"/>
                <w:szCs w:val="16"/>
                <w:vertAlign w:val="superscript"/>
              </w:rPr>
              <w:t>2</w:t>
            </w:r>
            <w:r w:rsidRPr="00F95EDA">
              <w:rPr>
                <w:rFonts w:ascii="Arial" w:hAnsi="Arial" w:cs="Arial"/>
                <w:color w:val="000000" w:themeColor="text1"/>
                <w:sz w:val="14"/>
                <w:szCs w:val="16"/>
              </w:rPr>
              <w:t>)</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43-95 (-)</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9</w:t>
            </w:r>
          </w:p>
        </w:tc>
      </w:tr>
      <w:tr w:rsidR="00F95EDA" w:rsidRPr="00F95EDA" w:rsidTr="00600FC8">
        <w:tc>
          <w:tcPr>
            <w:tcW w:w="1710" w:type="dxa"/>
            <w:vMerge/>
          </w:tcPr>
          <w:p w:rsidR="00600FC8" w:rsidRPr="00F95EDA" w:rsidRDefault="00600FC8" w:rsidP="00600FC8">
            <w:pPr>
              <w:pStyle w:val="BodyText"/>
              <w:rPr>
                <w:rFonts w:ascii="Arial" w:hAnsi="Arial" w:cs="Arial"/>
                <w:color w:val="000000" w:themeColor="text1"/>
                <w:sz w:val="14"/>
                <w:szCs w:val="16"/>
              </w:rPr>
            </w:pP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&gt; 95 (+)</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17</w:t>
            </w:r>
          </w:p>
        </w:tc>
      </w:tr>
      <w:tr w:rsidR="00F95EDA" w:rsidRPr="00F95EDA" w:rsidTr="005847A7">
        <w:tc>
          <w:tcPr>
            <w:tcW w:w="1710" w:type="dxa"/>
          </w:tcPr>
          <w:p w:rsidR="00600FC8" w:rsidRPr="00F95EDA" w:rsidRDefault="00600FC8" w:rsidP="00600FC8">
            <w:pPr>
              <w:pStyle w:val="BodyText"/>
              <w:rPr>
                <w:rFonts w:ascii="Arial" w:hAnsi="Arial" w:cs="Arial"/>
                <w:color w:val="000000" w:themeColor="text1"/>
                <w:sz w:val="14"/>
                <w:szCs w:val="16"/>
              </w:rPr>
            </w:pPr>
            <w:r w:rsidRPr="00F95EDA">
              <w:rPr>
                <w:rFonts w:ascii="Arial" w:hAnsi="Arial" w:cs="Arial"/>
                <w:color w:val="000000" w:themeColor="text1"/>
                <w:sz w:val="14"/>
                <w:szCs w:val="16"/>
              </w:rPr>
              <w:t>Mean ± SD</w:t>
            </w:r>
          </w:p>
        </w:tc>
        <w:tc>
          <w:tcPr>
            <w:tcW w:w="2880" w:type="dxa"/>
            <w:gridSpan w:val="2"/>
          </w:tcPr>
          <w:p w:rsidR="00600FC8" w:rsidRPr="00F95EDA" w:rsidRDefault="00600FC8" w:rsidP="00E94244">
            <w:pPr>
              <w:jc w:val="center"/>
              <w:rPr>
                <w:rFonts w:ascii="Arial" w:hAnsi="Arial" w:cs="Arial"/>
                <w:color w:val="000000" w:themeColor="text1"/>
                <w:sz w:val="16"/>
                <w:szCs w:val="16"/>
              </w:rPr>
            </w:pPr>
            <w:r w:rsidRPr="00F95EDA">
              <w:rPr>
                <w:rFonts w:ascii="Arial" w:hAnsi="Arial" w:cs="Arial"/>
                <w:color w:val="000000" w:themeColor="text1"/>
                <w:sz w:val="14"/>
                <w:szCs w:val="16"/>
              </w:rPr>
              <w:t>117.115±50.04</w:t>
            </w:r>
          </w:p>
        </w:tc>
      </w:tr>
      <w:tr w:rsidR="00F95EDA" w:rsidRPr="00F95EDA" w:rsidTr="00600FC8">
        <w:tc>
          <w:tcPr>
            <w:tcW w:w="1710" w:type="dxa"/>
            <w:vMerge w:val="restart"/>
          </w:tcPr>
          <w:p w:rsidR="00600FC8" w:rsidRPr="00F95EDA" w:rsidRDefault="00600FC8" w:rsidP="00600FC8">
            <w:pPr>
              <w:pStyle w:val="BodyText"/>
              <w:rPr>
                <w:rFonts w:ascii="Arial" w:hAnsi="Arial" w:cs="Arial"/>
                <w:color w:val="000000" w:themeColor="text1"/>
                <w:sz w:val="14"/>
                <w:szCs w:val="16"/>
              </w:rPr>
            </w:pPr>
            <w:r w:rsidRPr="00F95EDA">
              <w:rPr>
                <w:rFonts w:ascii="Arial" w:hAnsi="Arial" w:cs="Arial"/>
                <w:color w:val="000000" w:themeColor="text1"/>
                <w:sz w:val="14"/>
                <w:szCs w:val="16"/>
              </w:rPr>
              <w:t>LVMI For Male (g/m</w:t>
            </w:r>
            <w:r w:rsidRPr="00F95EDA">
              <w:rPr>
                <w:rFonts w:ascii="Arial" w:hAnsi="Arial" w:cs="Arial"/>
                <w:color w:val="000000" w:themeColor="text1"/>
                <w:sz w:val="14"/>
                <w:szCs w:val="16"/>
                <w:vertAlign w:val="superscript"/>
              </w:rPr>
              <w:t>2</w:t>
            </w:r>
            <w:r w:rsidRPr="00F95EDA">
              <w:rPr>
                <w:rFonts w:ascii="Arial" w:hAnsi="Arial" w:cs="Arial"/>
                <w:color w:val="000000" w:themeColor="text1"/>
                <w:sz w:val="14"/>
                <w:szCs w:val="16"/>
              </w:rPr>
              <w:t>)</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49-115 (-)</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12</w:t>
            </w:r>
          </w:p>
        </w:tc>
      </w:tr>
      <w:tr w:rsidR="00F95EDA" w:rsidRPr="00F95EDA" w:rsidTr="00600FC8">
        <w:tc>
          <w:tcPr>
            <w:tcW w:w="1710" w:type="dxa"/>
            <w:vMerge/>
          </w:tcPr>
          <w:p w:rsidR="00600FC8" w:rsidRPr="00F95EDA" w:rsidRDefault="00600FC8" w:rsidP="00600FC8">
            <w:pPr>
              <w:pStyle w:val="BodyText"/>
              <w:rPr>
                <w:rFonts w:ascii="Arial" w:hAnsi="Arial" w:cs="Arial"/>
                <w:color w:val="000000" w:themeColor="text1"/>
                <w:sz w:val="14"/>
                <w:szCs w:val="16"/>
              </w:rPr>
            </w:pP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&gt; 115 (+)</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24</w:t>
            </w:r>
          </w:p>
        </w:tc>
      </w:tr>
      <w:tr w:rsidR="00F95EDA" w:rsidRPr="00F95EDA" w:rsidTr="00F03761">
        <w:tc>
          <w:tcPr>
            <w:tcW w:w="1710" w:type="dxa"/>
          </w:tcPr>
          <w:p w:rsidR="00600FC8" w:rsidRPr="00F95EDA" w:rsidRDefault="00600FC8" w:rsidP="00600FC8">
            <w:pPr>
              <w:pStyle w:val="BodyText"/>
              <w:rPr>
                <w:rFonts w:ascii="Arial" w:hAnsi="Arial" w:cs="Arial"/>
                <w:color w:val="000000" w:themeColor="text1"/>
                <w:sz w:val="14"/>
                <w:szCs w:val="16"/>
              </w:rPr>
            </w:pPr>
            <w:r w:rsidRPr="00F95EDA">
              <w:rPr>
                <w:rFonts w:ascii="Arial" w:hAnsi="Arial" w:cs="Arial"/>
                <w:color w:val="000000" w:themeColor="text1"/>
                <w:sz w:val="14"/>
                <w:szCs w:val="16"/>
              </w:rPr>
              <w:t>Mean ± SD</w:t>
            </w:r>
          </w:p>
        </w:tc>
        <w:tc>
          <w:tcPr>
            <w:tcW w:w="2880" w:type="dxa"/>
            <w:gridSpan w:val="2"/>
          </w:tcPr>
          <w:p w:rsidR="00600FC8" w:rsidRPr="00F95EDA" w:rsidRDefault="00600FC8" w:rsidP="00E94244">
            <w:pPr>
              <w:jc w:val="center"/>
              <w:rPr>
                <w:rFonts w:ascii="Arial" w:hAnsi="Arial" w:cs="Arial"/>
                <w:color w:val="000000" w:themeColor="text1"/>
                <w:sz w:val="16"/>
                <w:szCs w:val="16"/>
              </w:rPr>
            </w:pPr>
            <w:r w:rsidRPr="00F95EDA">
              <w:rPr>
                <w:rFonts w:ascii="Arial" w:hAnsi="Arial" w:cs="Arial"/>
                <w:color w:val="000000" w:themeColor="text1"/>
                <w:sz w:val="14"/>
                <w:szCs w:val="16"/>
              </w:rPr>
              <w:t>132.25±47.05</w:t>
            </w:r>
          </w:p>
        </w:tc>
      </w:tr>
      <w:tr w:rsidR="00F95EDA" w:rsidRPr="00F95EDA" w:rsidTr="0035220E">
        <w:tc>
          <w:tcPr>
            <w:tcW w:w="1710" w:type="dxa"/>
            <w:vMerge w:val="restart"/>
            <w:vAlign w:val="center"/>
          </w:tcPr>
          <w:p w:rsidR="00600FC8" w:rsidRPr="00F95EDA" w:rsidRDefault="00600FC8" w:rsidP="00600FC8">
            <w:pPr>
              <w:pStyle w:val="BodyText"/>
              <w:rPr>
                <w:rFonts w:ascii="Arial" w:hAnsi="Arial" w:cs="Arial"/>
                <w:color w:val="000000" w:themeColor="text1"/>
                <w:sz w:val="14"/>
                <w:szCs w:val="16"/>
              </w:rPr>
            </w:pPr>
            <w:r w:rsidRPr="00F95EDA">
              <w:rPr>
                <w:rFonts w:ascii="Arial" w:hAnsi="Arial" w:cs="Arial"/>
                <w:color w:val="000000" w:themeColor="text1"/>
                <w:sz w:val="14"/>
                <w:szCs w:val="16"/>
              </w:rPr>
              <w:t>RWT (Hypertrophy)</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&lt; 0.42 (N)</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14</w:t>
            </w:r>
          </w:p>
        </w:tc>
      </w:tr>
      <w:tr w:rsidR="00F95EDA" w:rsidRPr="00F95EDA" w:rsidTr="00600FC8">
        <w:tc>
          <w:tcPr>
            <w:tcW w:w="1710" w:type="dxa"/>
            <w:vMerge/>
          </w:tcPr>
          <w:p w:rsidR="00600FC8" w:rsidRPr="00F95EDA" w:rsidRDefault="00600FC8" w:rsidP="00600FC8">
            <w:pPr>
              <w:pStyle w:val="BodyText"/>
              <w:rPr>
                <w:rFonts w:ascii="Arial" w:hAnsi="Arial" w:cs="Arial"/>
                <w:color w:val="000000" w:themeColor="text1"/>
                <w:sz w:val="14"/>
                <w:szCs w:val="16"/>
              </w:rPr>
            </w:pP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sym w:font="Symbol" w:char="F0A3"/>
            </w:r>
            <w:r w:rsidRPr="00F95EDA">
              <w:rPr>
                <w:rFonts w:ascii="Arial" w:hAnsi="Arial" w:cs="Arial"/>
                <w:color w:val="000000" w:themeColor="text1"/>
                <w:sz w:val="14"/>
                <w:szCs w:val="16"/>
              </w:rPr>
              <w:t xml:space="preserve"> 0.42 (E)</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16</w:t>
            </w:r>
          </w:p>
        </w:tc>
      </w:tr>
      <w:tr w:rsidR="00F95EDA" w:rsidRPr="00F95EDA" w:rsidTr="00600FC8">
        <w:tc>
          <w:tcPr>
            <w:tcW w:w="1710" w:type="dxa"/>
            <w:vMerge/>
          </w:tcPr>
          <w:p w:rsidR="00600FC8" w:rsidRPr="00F95EDA" w:rsidRDefault="00600FC8" w:rsidP="00600FC8">
            <w:pPr>
              <w:pStyle w:val="BodyText"/>
              <w:rPr>
                <w:rFonts w:ascii="Arial" w:hAnsi="Arial" w:cs="Arial"/>
                <w:color w:val="000000" w:themeColor="text1"/>
                <w:sz w:val="14"/>
                <w:szCs w:val="16"/>
              </w:rPr>
            </w:pP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sym w:font="Symbol" w:char="F0B3"/>
            </w:r>
            <w:r w:rsidRPr="00F95EDA">
              <w:rPr>
                <w:rFonts w:ascii="Arial" w:hAnsi="Arial" w:cs="Arial"/>
                <w:color w:val="000000" w:themeColor="text1"/>
                <w:sz w:val="14"/>
                <w:szCs w:val="16"/>
              </w:rPr>
              <w:t xml:space="preserve"> 0.42 (C)</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27</w:t>
            </w:r>
          </w:p>
        </w:tc>
      </w:tr>
      <w:tr w:rsidR="00F95EDA" w:rsidRPr="00F95EDA" w:rsidTr="00600FC8">
        <w:tc>
          <w:tcPr>
            <w:tcW w:w="1710" w:type="dxa"/>
            <w:vMerge/>
          </w:tcPr>
          <w:p w:rsidR="00600FC8" w:rsidRPr="00F95EDA" w:rsidRDefault="00600FC8" w:rsidP="00600FC8">
            <w:pPr>
              <w:pStyle w:val="BodyText"/>
              <w:rPr>
                <w:rFonts w:ascii="Arial" w:hAnsi="Arial" w:cs="Arial"/>
                <w:color w:val="000000" w:themeColor="text1"/>
                <w:sz w:val="14"/>
                <w:szCs w:val="16"/>
              </w:rPr>
            </w:pP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sym w:font="Symbol" w:char="F0B3"/>
            </w:r>
            <w:r w:rsidRPr="00F95EDA">
              <w:rPr>
                <w:rFonts w:ascii="Arial" w:hAnsi="Arial" w:cs="Arial"/>
                <w:color w:val="000000" w:themeColor="text1"/>
                <w:sz w:val="14"/>
                <w:szCs w:val="16"/>
              </w:rPr>
              <w:t xml:space="preserve"> 0.42(CR)</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05</w:t>
            </w:r>
          </w:p>
        </w:tc>
      </w:tr>
      <w:tr w:rsidR="00F95EDA" w:rsidRPr="00F95EDA" w:rsidTr="00600FC8">
        <w:tc>
          <w:tcPr>
            <w:tcW w:w="1710" w:type="dxa"/>
            <w:vMerge w:val="restart"/>
          </w:tcPr>
          <w:p w:rsidR="00600FC8" w:rsidRPr="00F95EDA" w:rsidRDefault="00600FC8" w:rsidP="00600FC8">
            <w:pPr>
              <w:pStyle w:val="BodyText"/>
              <w:rPr>
                <w:rFonts w:ascii="Arial" w:hAnsi="Arial" w:cs="Arial"/>
                <w:color w:val="000000" w:themeColor="text1"/>
                <w:sz w:val="14"/>
                <w:szCs w:val="16"/>
              </w:rPr>
            </w:pPr>
            <w:r w:rsidRPr="00F95EDA">
              <w:rPr>
                <w:rFonts w:ascii="Arial" w:hAnsi="Arial" w:cs="Arial"/>
                <w:color w:val="000000" w:themeColor="text1"/>
                <w:sz w:val="14"/>
                <w:szCs w:val="16"/>
              </w:rPr>
              <w:t>EF</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Normal</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28</w:t>
            </w:r>
          </w:p>
        </w:tc>
      </w:tr>
      <w:tr w:rsidR="00F95EDA" w:rsidRPr="00F95EDA" w:rsidTr="00600FC8">
        <w:tc>
          <w:tcPr>
            <w:tcW w:w="1710" w:type="dxa"/>
            <w:vMerge/>
          </w:tcPr>
          <w:p w:rsidR="00600FC8" w:rsidRPr="00F95EDA" w:rsidRDefault="00600FC8" w:rsidP="00600FC8">
            <w:pPr>
              <w:pStyle w:val="BodyText"/>
              <w:jc w:val="center"/>
              <w:rPr>
                <w:rFonts w:ascii="Arial" w:hAnsi="Arial" w:cs="Arial"/>
                <w:color w:val="000000" w:themeColor="text1"/>
                <w:sz w:val="14"/>
                <w:szCs w:val="16"/>
              </w:rPr>
            </w:pP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&lt;45%</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24</w:t>
            </w:r>
          </w:p>
        </w:tc>
      </w:tr>
      <w:tr w:rsidR="00F95EDA" w:rsidRPr="00F95EDA" w:rsidTr="00600FC8">
        <w:tc>
          <w:tcPr>
            <w:tcW w:w="1710" w:type="dxa"/>
            <w:vMerge/>
          </w:tcPr>
          <w:p w:rsidR="00600FC8" w:rsidRPr="00F95EDA" w:rsidRDefault="00600FC8" w:rsidP="00600FC8">
            <w:pPr>
              <w:pStyle w:val="BodyText"/>
              <w:jc w:val="center"/>
              <w:rPr>
                <w:rFonts w:ascii="Arial" w:hAnsi="Arial" w:cs="Arial"/>
                <w:color w:val="000000" w:themeColor="text1"/>
                <w:sz w:val="14"/>
                <w:szCs w:val="16"/>
              </w:rPr>
            </w:pP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&gt;70%</w:t>
            </w:r>
          </w:p>
        </w:tc>
        <w:tc>
          <w:tcPr>
            <w:tcW w:w="1440" w:type="dxa"/>
          </w:tcPr>
          <w:p w:rsidR="00600FC8" w:rsidRPr="00F95EDA" w:rsidRDefault="00600FC8" w:rsidP="00600FC8">
            <w:pPr>
              <w:pStyle w:val="BodyText"/>
              <w:jc w:val="center"/>
              <w:rPr>
                <w:rFonts w:ascii="Arial" w:hAnsi="Arial" w:cs="Arial"/>
                <w:color w:val="000000" w:themeColor="text1"/>
                <w:sz w:val="14"/>
                <w:szCs w:val="16"/>
              </w:rPr>
            </w:pPr>
            <w:r w:rsidRPr="00F95EDA">
              <w:rPr>
                <w:rFonts w:ascii="Arial" w:hAnsi="Arial" w:cs="Arial"/>
                <w:color w:val="000000" w:themeColor="text1"/>
                <w:sz w:val="14"/>
                <w:szCs w:val="16"/>
              </w:rPr>
              <w:t>10</w:t>
            </w:r>
          </w:p>
        </w:tc>
      </w:tr>
    </w:tbl>
    <w:p w:rsidR="00717C95" w:rsidRPr="00F95EDA" w:rsidRDefault="00553B15" w:rsidP="002A4926">
      <w:pPr>
        <w:spacing w:after="0" w:line="240" w:lineRule="auto"/>
        <w:jc w:val="both"/>
        <w:rPr>
          <w:rFonts w:ascii="Arial" w:hAnsi="Arial" w:cs="Arial"/>
          <w:color w:val="000000" w:themeColor="text1"/>
          <w:sz w:val="16"/>
          <w:szCs w:val="16"/>
        </w:rPr>
      </w:pPr>
      <w:r w:rsidRPr="00F95EDA">
        <w:rPr>
          <w:rFonts w:ascii="Arial" w:hAnsi="Arial" w:cs="Arial"/>
          <w:color w:val="000000" w:themeColor="text1"/>
          <w:sz w:val="16"/>
          <w:szCs w:val="16"/>
        </w:rPr>
        <w:t>Distribution of participants on basis of plasma fibrinogen lev</w:t>
      </w:r>
      <w:r w:rsidR="00421833" w:rsidRPr="00F95EDA">
        <w:rPr>
          <w:rFonts w:ascii="Arial" w:hAnsi="Arial" w:cs="Arial"/>
          <w:color w:val="000000" w:themeColor="text1"/>
          <w:sz w:val="16"/>
          <w:szCs w:val="16"/>
        </w:rPr>
        <w:t xml:space="preserve">els was presented as frequency </w:t>
      </w:r>
      <w:r w:rsidR="00717C95" w:rsidRPr="00F95EDA">
        <w:rPr>
          <w:rFonts w:ascii="Arial" w:hAnsi="Arial" w:cs="Arial"/>
          <w:color w:val="000000" w:themeColor="text1"/>
          <w:sz w:val="16"/>
          <w:szCs w:val="16"/>
        </w:rPr>
        <w:t xml:space="preserve">as shown by </w:t>
      </w:r>
      <w:r w:rsidR="000C7CD7" w:rsidRPr="00F95EDA">
        <w:rPr>
          <w:rFonts w:ascii="Arial" w:hAnsi="Arial" w:cs="Arial"/>
          <w:color w:val="000000" w:themeColor="text1"/>
          <w:sz w:val="16"/>
          <w:szCs w:val="16"/>
        </w:rPr>
        <w:t>Figure-2</w:t>
      </w:r>
      <w:r w:rsidR="00717C95" w:rsidRPr="00F95EDA">
        <w:rPr>
          <w:rFonts w:ascii="Arial" w:hAnsi="Arial" w:cs="Arial"/>
          <w:color w:val="000000" w:themeColor="text1"/>
          <w:sz w:val="16"/>
          <w:szCs w:val="16"/>
        </w:rPr>
        <w:t>.</w:t>
      </w:r>
      <w:r w:rsidR="001D4972" w:rsidRPr="00F95EDA">
        <w:rPr>
          <w:rFonts w:ascii="Arial" w:hAnsi="Arial" w:cs="Arial"/>
          <w:color w:val="000000" w:themeColor="text1"/>
          <w:sz w:val="16"/>
          <w:szCs w:val="16"/>
        </w:rPr>
        <w:t xml:space="preserve"> Normal fibrinogen level ranges from 150-400mg/dl.</w:t>
      </w:r>
    </w:p>
    <w:p w:rsidR="000C7CD7" w:rsidRPr="00F95EDA" w:rsidRDefault="000C7CD7" w:rsidP="002A4926">
      <w:pPr>
        <w:spacing w:after="0" w:line="240" w:lineRule="auto"/>
        <w:jc w:val="both"/>
        <w:rPr>
          <w:rFonts w:ascii="Arial" w:hAnsi="Arial" w:cs="Arial"/>
          <w:color w:val="000000" w:themeColor="text1"/>
          <w:sz w:val="16"/>
          <w:szCs w:val="16"/>
        </w:rPr>
      </w:pPr>
    </w:p>
    <w:p w:rsidR="000C7CD7" w:rsidRPr="00F95EDA" w:rsidRDefault="00F23926" w:rsidP="002A4926">
      <w:pPr>
        <w:spacing w:after="0" w:line="240" w:lineRule="auto"/>
        <w:jc w:val="both"/>
        <w:rPr>
          <w:rFonts w:ascii="Arial" w:hAnsi="Arial" w:cs="Arial"/>
          <w:color w:val="000000" w:themeColor="text1"/>
          <w:sz w:val="16"/>
          <w:szCs w:val="16"/>
        </w:rPr>
      </w:pPr>
      <w:r w:rsidRPr="00F95EDA">
        <w:rPr>
          <w:rFonts w:ascii="Arial" w:hAnsi="Arial" w:cs="Arial"/>
          <w:color w:val="000000" w:themeColor="text1"/>
          <w:sz w:val="14"/>
          <w:szCs w:val="16"/>
        </w:rPr>
        <w:t>Figure-2: Frequency Distribution according to Plasma Fibrinogen</w:t>
      </w:r>
    </w:p>
    <w:p w:rsidR="000C7CD7" w:rsidRPr="00F95EDA" w:rsidRDefault="000C7CD7" w:rsidP="002A4926">
      <w:pPr>
        <w:spacing w:after="0" w:line="240" w:lineRule="auto"/>
        <w:jc w:val="both"/>
        <w:rPr>
          <w:rFonts w:ascii="Arial" w:hAnsi="Arial" w:cs="Arial"/>
          <w:color w:val="000000" w:themeColor="text1"/>
          <w:sz w:val="16"/>
          <w:szCs w:val="16"/>
        </w:rPr>
      </w:pPr>
      <w:r w:rsidRPr="00F95EDA">
        <w:rPr>
          <w:rFonts w:ascii="Arial" w:hAnsi="Arial" w:cs="Arial"/>
          <w:noProof/>
          <w:color w:val="000000" w:themeColor="text1"/>
          <w:sz w:val="16"/>
          <w:szCs w:val="16"/>
        </w:rPr>
        <w:drawing>
          <wp:inline distT="0" distB="0" distL="0" distR="0" wp14:anchorId="71BC0A1E" wp14:editId="55DD139D">
            <wp:extent cx="3034030" cy="1476375"/>
            <wp:effectExtent l="19050" t="0" r="1397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404D" w:rsidRPr="00F95EDA" w:rsidRDefault="0066404D" w:rsidP="002A4926">
      <w:pPr>
        <w:spacing w:after="0" w:line="240" w:lineRule="auto"/>
        <w:jc w:val="center"/>
        <w:rPr>
          <w:rFonts w:ascii="Arial" w:hAnsi="Arial" w:cs="Arial"/>
          <w:color w:val="000000" w:themeColor="text1"/>
          <w:sz w:val="16"/>
          <w:szCs w:val="16"/>
        </w:rPr>
      </w:pPr>
    </w:p>
    <w:p w:rsidR="00537FC3" w:rsidRPr="00F95EDA" w:rsidRDefault="00DC5CE5" w:rsidP="002A4926">
      <w:pPr>
        <w:spacing w:after="0" w:line="240" w:lineRule="auto"/>
        <w:jc w:val="both"/>
        <w:rPr>
          <w:rFonts w:ascii="Arial" w:hAnsi="Arial" w:cs="Arial"/>
          <w:color w:val="000000" w:themeColor="text1"/>
          <w:sz w:val="16"/>
          <w:szCs w:val="16"/>
        </w:rPr>
      </w:pPr>
      <w:r w:rsidRPr="00F95EDA">
        <w:rPr>
          <w:rFonts w:ascii="Arial" w:hAnsi="Arial" w:cs="Arial"/>
          <w:color w:val="000000" w:themeColor="text1"/>
          <w:sz w:val="16"/>
          <w:szCs w:val="16"/>
        </w:rPr>
        <w:t>Echo</w:t>
      </w:r>
      <w:r w:rsidR="00685451" w:rsidRPr="00F95EDA">
        <w:rPr>
          <w:rFonts w:ascii="Arial" w:hAnsi="Arial" w:cs="Arial"/>
          <w:color w:val="000000" w:themeColor="text1"/>
          <w:sz w:val="16"/>
          <w:szCs w:val="16"/>
        </w:rPr>
        <w:t xml:space="preserve"> </w:t>
      </w:r>
      <w:r w:rsidRPr="00F95EDA">
        <w:rPr>
          <w:rFonts w:ascii="Arial" w:hAnsi="Arial" w:cs="Arial"/>
          <w:color w:val="000000" w:themeColor="text1"/>
          <w:sz w:val="16"/>
          <w:szCs w:val="16"/>
        </w:rPr>
        <w:t>LVH and raised plasma fibrinogen was found in 29</w:t>
      </w:r>
      <w:r w:rsidR="00486593" w:rsidRPr="00F95EDA">
        <w:rPr>
          <w:rFonts w:ascii="Arial" w:hAnsi="Arial" w:cs="Arial"/>
          <w:color w:val="000000" w:themeColor="text1"/>
          <w:sz w:val="16"/>
          <w:szCs w:val="16"/>
        </w:rPr>
        <w:t xml:space="preserve"> </w:t>
      </w:r>
      <w:r w:rsidRPr="00F95EDA">
        <w:rPr>
          <w:rFonts w:ascii="Arial" w:hAnsi="Arial" w:cs="Arial"/>
          <w:color w:val="000000" w:themeColor="text1"/>
          <w:sz w:val="16"/>
          <w:szCs w:val="16"/>
        </w:rPr>
        <w:t>(70.73%) CKD patients.</w:t>
      </w:r>
      <w:r w:rsidR="00685451" w:rsidRPr="00F95EDA">
        <w:rPr>
          <w:rFonts w:ascii="Arial" w:hAnsi="Arial" w:cs="Arial"/>
          <w:color w:val="000000" w:themeColor="text1"/>
          <w:sz w:val="16"/>
          <w:szCs w:val="16"/>
        </w:rPr>
        <w:t xml:space="preserve"> Echo LVH was stratified for plasma fibrinogen</w:t>
      </w:r>
      <w:r w:rsidRPr="00F95EDA">
        <w:rPr>
          <w:rFonts w:ascii="Arial" w:hAnsi="Arial" w:cs="Arial"/>
          <w:color w:val="000000" w:themeColor="text1"/>
          <w:sz w:val="16"/>
          <w:szCs w:val="16"/>
        </w:rPr>
        <w:t xml:space="preserve"> as shown by </w:t>
      </w:r>
      <w:r w:rsidR="00815BC6" w:rsidRPr="00F95EDA">
        <w:rPr>
          <w:rFonts w:ascii="Arial" w:hAnsi="Arial" w:cs="Arial"/>
          <w:color w:val="000000" w:themeColor="text1"/>
          <w:sz w:val="16"/>
          <w:szCs w:val="16"/>
        </w:rPr>
        <w:t>figure</w:t>
      </w:r>
      <w:r w:rsidR="002322BD" w:rsidRPr="00F95EDA">
        <w:rPr>
          <w:rFonts w:ascii="Arial" w:hAnsi="Arial" w:cs="Arial"/>
          <w:color w:val="000000" w:themeColor="text1"/>
          <w:sz w:val="16"/>
          <w:szCs w:val="16"/>
        </w:rPr>
        <w:t>-</w:t>
      </w:r>
      <w:r w:rsidR="00815BC6" w:rsidRPr="00F95EDA">
        <w:rPr>
          <w:rFonts w:ascii="Arial" w:hAnsi="Arial" w:cs="Arial"/>
          <w:color w:val="000000" w:themeColor="text1"/>
          <w:sz w:val="16"/>
          <w:szCs w:val="16"/>
        </w:rPr>
        <w:t>3</w:t>
      </w:r>
      <w:r w:rsidRPr="00F95EDA">
        <w:rPr>
          <w:rFonts w:ascii="Arial" w:hAnsi="Arial" w:cs="Arial"/>
          <w:color w:val="000000" w:themeColor="text1"/>
          <w:sz w:val="16"/>
          <w:szCs w:val="16"/>
        </w:rPr>
        <w:t>.</w:t>
      </w:r>
    </w:p>
    <w:p w:rsidR="00F23926" w:rsidRPr="00F95EDA" w:rsidRDefault="00F23926" w:rsidP="002A4926">
      <w:pPr>
        <w:spacing w:after="0" w:line="240" w:lineRule="auto"/>
        <w:jc w:val="both"/>
        <w:rPr>
          <w:rFonts w:ascii="Arial" w:hAnsi="Arial" w:cs="Arial"/>
          <w:color w:val="000000" w:themeColor="text1"/>
          <w:sz w:val="16"/>
          <w:szCs w:val="16"/>
        </w:rPr>
      </w:pPr>
    </w:p>
    <w:p w:rsidR="00F23926" w:rsidRPr="00F95EDA" w:rsidRDefault="00F23926" w:rsidP="002A4926">
      <w:pPr>
        <w:spacing w:after="0" w:line="240" w:lineRule="auto"/>
        <w:jc w:val="both"/>
        <w:rPr>
          <w:rFonts w:ascii="Arial" w:hAnsi="Arial" w:cs="Arial"/>
          <w:color w:val="000000" w:themeColor="text1"/>
          <w:sz w:val="16"/>
          <w:szCs w:val="16"/>
        </w:rPr>
      </w:pPr>
      <w:r w:rsidRPr="00F95EDA">
        <w:rPr>
          <w:rFonts w:ascii="Arial" w:hAnsi="Arial" w:cs="Arial"/>
          <w:color w:val="000000" w:themeColor="text1"/>
          <w:sz w:val="14"/>
          <w:szCs w:val="16"/>
        </w:rPr>
        <w:t xml:space="preserve">Figure-3: Frequency </w:t>
      </w:r>
      <w:r w:rsidR="00EA0AF0" w:rsidRPr="00F95EDA">
        <w:rPr>
          <w:rFonts w:ascii="Arial" w:hAnsi="Arial" w:cs="Arial"/>
          <w:color w:val="000000" w:themeColor="text1"/>
          <w:sz w:val="14"/>
          <w:szCs w:val="16"/>
        </w:rPr>
        <w:t xml:space="preserve">distribution of plasma fibrinogen stratified by echo </w:t>
      </w:r>
      <w:r w:rsidRPr="00F95EDA">
        <w:rPr>
          <w:rFonts w:ascii="Arial" w:hAnsi="Arial" w:cs="Arial"/>
          <w:color w:val="000000" w:themeColor="text1"/>
          <w:sz w:val="14"/>
          <w:szCs w:val="16"/>
        </w:rPr>
        <w:t>LVH</w:t>
      </w:r>
    </w:p>
    <w:p w:rsidR="00537FC3" w:rsidRPr="00F95EDA" w:rsidRDefault="00537FC3" w:rsidP="002A4926">
      <w:pPr>
        <w:pStyle w:val="BodyText"/>
        <w:jc w:val="both"/>
        <w:rPr>
          <w:rFonts w:ascii="Arial" w:hAnsi="Arial" w:cs="Arial"/>
          <w:color w:val="000000" w:themeColor="text1"/>
          <w:sz w:val="16"/>
          <w:szCs w:val="16"/>
        </w:rPr>
      </w:pPr>
      <w:r w:rsidRPr="00F95EDA">
        <w:rPr>
          <w:rFonts w:ascii="Arial" w:hAnsi="Arial" w:cs="Arial"/>
          <w:noProof/>
          <w:color w:val="000000" w:themeColor="text1"/>
          <w:sz w:val="16"/>
          <w:szCs w:val="16"/>
          <w:lang w:bidi="ar-SA"/>
        </w:rPr>
        <w:drawing>
          <wp:inline distT="0" distB="0" distL="0" distR="0" wp14:anchorId="1D464B79" wp14:editId="2CCA27D7">
            <wp:extent cx="2986405" cy="1685925"/>
            <wp:effectExtent l="19050" t="0" r="2349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3926" w:rsidRPr="00F95EDA" w:rsidRDefault="00F23926" w:rsidP="002A4926">
      <w:pPr>
        <w:pStyle w:val="BodyText"/>
        <w:jc w:val="both"/>
        <w:rPr>
          <w:rFonts w:ascii="Arial" w:hAnsi="Arial" w:cs="Arial"/>
          <w:color w:val="000000" w:themeColor="text1"/>
          <w:sz w:val="16"/>
          <w:szCs w:val="16"/>
        </w:rPr>
      </w:pPr>
    </w:p>
    <w:p w:rsidR="00463478" w:rsidRPr="00F95EDA" w:rsidRDefault="00DB3509" w:rsidP="00E94244">
      <w:pPr>
        <w:pStyle w:val="BodyText"/>
        <w:jc w:val="both"/>
        <w:rPr>
          <w:rFonts w:ascii="Arial" w:hAnsi="Arial" w:cs="Arial"/>
          <w:color w:val="000000" w:themeColor="text1"/>
          <w:sz w:val="16"/>
          <w:szCs w:val="16"/>
        </w:rPr>
      </w:pPr>
      <w:r w:rsidRPr="00F95EDA">
        <w:rPr>
          <w:rFonts w:ascii="Arial" w:hAnsi="Arial" w:cs="Arial"/>
          <w:color w:val="000000" w:themeColor="text1"/>
          <w:sz w:val="16"/>
          <w:szCs w:val="16"/>
        </w:rPr>
        <w:t xml:space="preserve">Among CKD patients, </w:t>
      </w:r>
      <w:r w:rsidR="00FE63F9" w:rsidRPr="00F95EDA">
        <w:rPr>
          <w:rFonts w:ascii="Arial" w:hAnsi="Arial" w:cs="Arial"/>
          <w:color w:val="000000" w:themeColor="text1"/>
          <w:sz w:val="16"/>
          <w:szCs w:val="16"/>
        </w:rPr>
        <w:t>data was stratified for various types of hypertrophies among stage -3 and 4 CKD</w:t>
      </w:r>
      <w:r w:rsidRPr="00F95EDA">
        <w:rPr>
          <w:rFonts w:ascii="Arial" w:hAnsi="Arial" w:cs="Arial"/>
          <w:color w:val="000000" w:themeColor="text1"/>
          <w:sz w:val="16"/>
          <w:szCs w:val="16"/>
        </w:rPr>
        <w:t xml:space="preserve"> as shown by table-</w:t>
      </w:r>
      <w:r w:rsidR="00084BC2" w:rsidRPr="00F95EDA">
        <w:rPr>
          <w:rFonts w:ascii="Arial" w:hAnsi="Arial" w:cs="Arial"/>
          <w:color w:val="000000" w:themeColor="text1"/>
          <w:sz w:val="16"/>
          <w:szCs w:val="16"/>
        </w:rPr>
        <w:t>3</w:t>
      </w:r>
      <w:r w:rsidR="001C354A" w:rsidRPr="00F95EDA">
        <w:rPr>
          <w:rFonts w:ascii="Arial" w:hAnsi="Arial" w:cs="Arial"/>
          <w:color w:val="000000" w:themeColor="text1"/>
          <w:sz w:val="16"/>
          <w:szCs w:val="16"/>
        </w:rPr>
        <w:t>.</w:t>
      </w:r>
      <w:r w:rsidR="00E94244" w:rsidRPr="00F95EDA">
        <w:rPr>
          <w:rFonts w:ascii="Arial" w:hAnsi="Arial" w:cs="Arial"/>
          <w:color w:val="000000" w:themeColor="text1"/>
          <w:sz w:val="16"/>
          <w:szCs w:val="16"/>
        </w:rPr>
        <w:t xml:space="preserve"> </w:t>
      </w:r>
      <w:r w:rsidR="00B55314" w:rsidRPr="00F95EDA">
        <w:rPr>
          <w:rFonts w:ascii="Arial" w:hAnsi="Arial" w:cs="Arial"/>
          <w:color w:val="000000" w:themeColor="text1"/>
          <w:sz w:val="16"/>
          <w:szCs w:val="16"/>
        </w:rPr>
        <w:t>C</w:t>
      </w:r>
      <w:r w:rsidR="00463478" w:rsidRPr="00F95EDA">
        <w:rPr>
          <w:rFonts w:ascii="Arial" w:hAnsi="Arial" w:cs="Arial"/>
          <w:color w:val="000000" w:themeColor="text1"/>
          <w:sz w:val="16"/>
          <w:szCs w:val="16"/>
        </w:rPr>
        <w:t>orrelation between plasma fibrinogen and other echo</w:t>
      </w:r>
      <w:r w:rsidR="007D001C" w:rsidRPr="00F95EDA">
        <w:rPr>
          <w:rFonts w:ascii="Arial" w:hAnsi="Arial" w:cs="Arial"/>
          <w:color w:val="000000" w:themeColor="text1"/>
          <w:sz w:val="16"/>
          <w:szCs w:val="16"/>
        </w:rPr>
        <w:t xml:space="preserve"> parameters</w:t>
      </w:r>
      <w:r w:rsidR="00463478" w:rsidRPr="00F95EDA">
        <w:rPr>
          <w:rFonts w:ascii="Arial" w:hAnsi="Arial" w:cs="Arial"/>
          <w:color w:val="000000" w:themeColor="text1"/>
          <w:sz w:val="16"/>
          <w:szCs w:val="16"/>
        </w:rPr>
        <w:t xml:space="preserve"> </w:t>
      </w:r>
      <w:r w:rsidR="00B55314" w:rsidRPr="00F95EDA">
        <w:rPr>
          <w:rFonts w:ascii="Arial" w:hAnsi="Arial" w:cs="Arial"/>
          <w:color w:val="000000" w:themeColor="text1"/>
          <w:sz w:val="16"/>
          <w:szCs w:val="16"/>
        </w:rPr>
        <w:t xml:space="preserve">was </w:t>
      </w:r>
      <w:r w:rsidR="00463478" w:rsidRPr="00F95EDA">
        <w:rPr>
          <w:rFonts w:ascii="Arial" w:hAnsi="Arial" w:cs="Arial"/>
          <w:color w:val="000000" w:themeColor="text1"/>
          <w:sz w:val="16"/>
          <w:szCs w:val="16"/>
        </w:rPr>
        <w:t>shown by table-</w:t>
      </w:r>
      <w:r w:rsidR="00D66BC3" w:rsidRPr="00F95EDA">
        <w:rPr>
          <w:rFonts w:ascii="Arial" w:hAnsi="Arial" w:cs="Arial"/>
          <w:color w:val="000000" w:themeColor="text1"/>
          <w:sz w:val="16"/>
          <w:szCs w:val="16"/>
        </w:rPr>
        <w:t>4</w:t>
      </w:r>
      <w:r w:rsidR="00463478" w:rsidRPr="00F95EDA">
        <w:rPr>
          <w:rFonts w:ascii="Arial" w:hAnsi="Arial" w:cs="Arial"/>
          <w:color w:val="000000" w:themeColor="text1"/>
          <w:sz w:val="16"/>
          <w:szCs w:val="16"/>
        </w:rPr>
        <w:t>.</w:t>
      </w:r>
    </w:p>
    <w:p w:rsidR="002A4926" w:rsidRPr="00F95EDA" w:rsidRDefault="002A4926" w:rsidP="00E94244">
      <w:pPr>
        <w:pStyle w:val="BodyText"/>
        <w:jc w:val="both"/>
        <w:rPr>
          <w:rFonts w:ascii="Arial" w:hAnsi="Arial" w:cs="Arial"/>
          <w:b/>
          <w:color w:val="000000" w:themeColor="text1"/>
          <w:sz w:val="16"/>
          <w:szCs w:val="16"/>
        </w:rPr>
      </w:pPr>
    </w:p>
    <w:p w:rsidR="002A4926" w:rsidRPr="00F95EDA" w:rsidRDefault="00F23926" w:rsidP="002A4926">
      <w:pPr>
        <w:pStyle w:val="BodyText"/>
        <w:jc w:val="both"/>
        <w:rPr>
          <w:rFonts w:ascii="Arial" w:hAnsi="Arial" w:cs="Arial"/>
          <w:color w:val="000000" w:themeColor="text1"/>
          <w:sz w:val="14"/>
          <w:szCs w:val="16"/>
        </w:rPr>
      </w:pPr>
      <w:r w:rsidRPr="00F95EDA">
        <w:rPr>
          <w:rFonts w:ascii="Arial" w:hAnsi="Arial" w:cs="Arial"/>
          <w:color w:val="000000" w:themeColor="text1"/>
          <w:sz w:val="14"/>
          <w:szCs w:val="16"/>
        </w:rPr>
        <w:t>Table-3: Pattern of LVH stratified by CKD Stages</w:t>
      </w:r>
    </w:p>
    <w:tbl>
      <w:tblPr>
        <w:tblStyle w:val="TableGrid"/>
        <w:tblW w:w="0" w:type="auto"/>
        <w:tblInd w:w="108" w:type="dxa"/>
        <w:tblLook w:val="04A0" w:firstRow="1" w:lastRow="0" w:firstColumn="1" w:lastColumn="0" w:noHBand="0" w:noVBand="1"/>
      </w:tblPr>
      <w:tblGrid>
        <w:gridCol w:w="1260"/>
        <w:gridCol w:w="1620"/>
        <w:gridCol w:w="1890"/>
      </w:tblGrid>
      <w:tr w:rsidR="00F95EDA" w:rsidRPr="00F95EDA" w:rsidTr="00E94244">
        <w:tc>
          <w:tcPr>
            <w:tcW w:w="1260" w:type="dxa"/>
          </w:tcPr>
          <w:p w:rsidR="00F23926" w:rsidRPr="00F95EDA" w:rsidRDefault="00F23926" w:rsidP="00F23926">
            <w:pPr>
              <w:tabs>
                <w:tab w:val="left" w:pos="75"/>
              </w:tabs>
              <w:rPr>
                <w:rFonts w:ascii="Arial" w:hAnsi="Arial" w:cs="Arial"/>
                <w:b/>
                <w:color w:val="000000" w:themeColor="text1"/>
                <w:sz w:val="14"/>
                <w:szCs w:val="16"/>
              </w:rPr>
            </w:pPr>
            <w:r w:rsidRPr="00F95EDA">
              <w:rPr>
                <w:rFonts w:ascii="Arial" w:hAnsi="Arial" w:cs="Arial"/>
                <w:b/>
                <w:color w:val="000000" w:themeColor="text1"/>
                <w:sz w:val="14"/>
                <w:szCs w:val="16"/>
              </w:rPr>
              <w:t>LVH</w:t>
            </w:r>
          </w:p>
        </w:tc>
        <w:tc>
          <w:tcPr>
            <w:tcW w:w="1620" w:type="dxa"/>
          </w:tcPr>
          <w:p w:rsidR="00F23926" w:rsidRPr="00F95EDA" w:rsidRDefault="00F23926" w:rsidP="00F23926">
            <w:pPr>
              <w:tabs>
                <w:tab w:val="left" w:pos="75"/>
              </w:tabs>
              <w:jc w:val="center"/>
              <w:rPr>
                <w:rFonts w:ascii="Arial" w:hAnsi="Arial" w:cs="Arial"/>
                <w:b/>
                <w:color w:val="000000" w:themeColor="text1"/>
                <w:sz w:val="14"/>
                <w:szCs w:val="16"/>
              </w:rPr>
            </w:pPr>
            <w:r w:rsidRPr="00F95EDA">
              <w:rPr>
                <w:rFonts w:ascii="Arial" w:hAnsi="Arial" w:cs="Arial"/>
                <w:b/>
                <w:color w:val="000000" w:themeColor="text1"/>
                <w:sz w:val="14"/>
                <w:szCs w:val="16"/>
              </w:rPr>
              <w:t>Stage-3</w:t>
            </w:r>
          </w:p>
        </w:tc>
        <w:tc>
          <w:tcPr>
            <w:tcW w:w="1890" w:type="dxa"/>
          </w:tcPr>
          <w:p w:rsidR="00F23926" w:rsidRPr="00F95EDA" w:rsidRDefault="00F23926" w:rsidP="00F23926">
            <w:pPr>
              <w:tabs>
                <w:tab w:val="left" w:pos="75"/>
              </w:tabs>
              <w:jc w:val="center"/>
              <w:rPr>
                <w:rFonts w:ascii="Arial" w:hAnsi="Arial" w:cs="Arial"/>
                <w:b/>
                <w:color w:val="000000" w:themeColor="text1"/>
                <w:sz w:val="14"/>
                <w:szCs w:val="16"/>
              </w:rPr>
            </w:pPr>
            <w:r w:rsidRPr="00F95EDA">
              <w:rPr>
                <w:rFonts w:ascii="Arial" w:hAnsi="Arial" w:cs="Arial"/>
                <w:b/>
                <w:color w:val="000000" w:themeColor="text1"/>
                <w:sz w:val="14"/>
                <w:szCs w:val="16"/>
              </w:rPr>
              <w:t>Stage-4</w:t>
            </w:r>
          </w:p>
        </w:tc>
      </w:tr>
      <w:tr w:rsidR="00F95EDA" w:rsidRPr="00F95EDA" w:rsidTr="00E94244">
        <w:tc>
          <w:tcPr>
            <w:tcW w:w="1260" w:type="dxa"/>
          </w:tcPr>
          <w:p w:rsidR="00F23926" w:rsidRPr="00F95EDA" w:rsidRDefault="00F23926" w:rsidP="00F23926">
            <w:pPr>
              <w:tabs>
                <w:tab w:val="left" w:pos="75"/>
              </w:tabs>
              <w:rPr>
                <w:rFonts w:ascii="Arial" w:hAnsi="Arial" w:cs="Arial"/>
                <w:color w:val="000000" w:themeColor="text1"/>
                <w:sz w:val="14"/>
                <w:szCs w:val="16"/>
              </w:rPr>
            </w:pPr>
            <w:r w:rsidRPr="00F95EDA">
              <w:rPr>
                <w:rFonts w:ascii="Arial" w:hAnsi="Arial" w:cs="Arial"/>
                <w:color w:val="000000" w:themeColor="text1"/>
                <w:sz w:val="14"/>
                <w:szCs w:val="16"/>
              </w:rPr>
              <w:t>CH</w:t>
            </w:r>
          </w:p>
        </w:tc>
        <w:tc>
          <w:tcPr>
            <w:tcW w:w="1620" w:type="dxa"/>
          </w:tcPr>
          <w:p w:rsidR="00F23926" w:rsidRPr="00F95EDA" w:rsidRDefault="00F23926" w:rsidP="00F23926">
            <w:pPr>
              <w:tabs>
                <w:tab w:val="left" w:pos="75"/>
              </w:tabs>
              <w:jc w:val="center"/>
              <w:rPr>
                <w:rFonts w:ascii="Arial" w:hAnsi="Arial" w:cs="Arial"/>
                <w:color w:val="000000" w:themeColor="text1"/>
                <w:sz w:val="14"/>
                <w:szCs w:val="16"/>
              </w:rPr>
            </w:pPr>
            <w:r w:rsidRPr="00F95EDA">
              <w:rPr>
                <w:rFonts w:ascii="Arial" w:hAnsi="Arial" w:cs="Arial"/>
                <w:color w:val="000000" w:themeColor="text1"/>
                <w:sz w:val="14"/>
                <w:szCs w:val="16"/>
              </w:rPr>
              <w:t>27.77%</w:t>
            </w:r>
          </w:p>
        </w:tc>
        <w:tc>
          <w:tcPr>
            <w:tcW w:w="1890" w:type="dxa"/>
          </w:tcPr>
          <w:p w:rsidR="00F23926" w:rsidRPr="00F95EDA" w:rsidRDefault="00F23926" w:rsidP="00F23926">
            <w:pPr>
              <w:tabs>
                <w:tab w:val="left" w:pos="75"/>
              </w:tabs>
              <w:jc w:val="center"/>
              <w:rPr>
                <w:rFonts w:ascii="Arial" w:hAnsi="Arial" w:cs="Arial"/>
                <w:color w:val="000000" w:themeColor="text1"/>
                <w:sz w:val="14"/>
                <w:szCs w:val="16"/>
              </w:rPr>
            </w:pPr>
            <w:r w:rsidRPr="00F95EDA">
              <w:rPr>
                <w:rFonts w:ascii="Arial" w:hAnsi="Arial" w:cs="Arial"/>
                <w:color w:val="000000" w:themeColor="text1"/>
                <w:sz w:val="14"/>
                <w:szCs w:val="16"/>
              </w:rPr>
              <w:t>61.53%</w:t>
            </w:r>
          </w:p>
        </w:tc>
      </w:tr>
      <w:tr w:rsidR="00F95EDA" w:rsidRPr="00F95EDA" w:rsidTr="00E94244">
        <w:tc>
          <w:tcPr>
            <w:tcW w:w="1260" w:type="dxa"/>
          </w:tcPr>
          <w:p w:rsidR="00F23926" w:rsidRPr="00F95EDA" w:rsidRDefault="00F23926" w:rsidP="00F23926">
            <w:pPr>
              <w:tabs>
                <w:tab w:val="left" w:pos="75"/>
              </w:tabs>
              <w:rPr>
                <w:rFonts w:ascii="Arial" w:hAnsi="Arial" w:cs="Arial"/>
                <w:color w:val="000000" w:themeColor="text1"/>
                <w:sz w:val="14"/>
                <w:szCs w:val="16"/>
              </w:rPr>
            </w:pPr>
            <w:r w:rsidRPr="00F95EDA">
              <w:rPr>
                <w:rFonts w:ascii="Arial" w:hAnsi="Arial" w:cs="Arial"/>
                <w:color w:val="000000" w:themeColor="text1"/>
                <w:sz w:val="14"/>
                <w:szCs w:val="16"/>
              </w:rPr>
              <w:t>EH</w:t>
            </w:r>
          </w:p>
        </w:tc>
        <w:tc>
          <w:tcPr>
            <w:tcW w:w="1620" w:type="dxa"/>
          </w:tcPr>
          <w:p w:rsidR="00F23926" w:rsidRPr="00F95EDA" w:rsidRDefault="00F23926" w:rsidP="00F23926">
            <w:pPr>
              <w:tabs>
                <w:tab w:val="left" w:pos="75"/>
              </w:tabs>
              <w:jc w:val="center"/>
              <w:rPr>
                <w:rFonts w:ascii="Arial" w:hAnsi="Arial" w:cs="Arial"/>
                <w:color w:val="000000" w:themeColor="text1"/>
                <w:sz w:val="14"/>
                <w:szCs w:val="16"/>
              </w:rPr>
            </w:pPr>
            <w:r w:rsidRPr="00F95EDA">
              <w:rPr>
                <w:rFonts w:ascii="Arial" w:hAnsi="Arial" w:cs="Arial"/>
                <w:color w:val="000000" w:themeColor="text1"/>
                <w:sz w:val="14"/>
                <w:szCs w:val="16"/>
              </w:rPr>
              <w:t>25%</w:t>
            </w:r>
          </w:p>
        </w:tc>
        <w:tc>
          <w:tcPr>
            <w:tcW w:w="1890" w:type="dxa"/>
          </w:tcPr>
          <w:p w:rsidR="00F23926" w:rsidRPr="00F95EDA" w:rsidRDefault="00F23926" w:rsidP="00F23926">
            <w:pPr>
              <w:tabs>
                <w:tab w:val="left" w:pos="75"/>
              </w:tabs>
              <w:jc w:val="center"/>
              <w:rPr>
                <w:rFonts w:ascii="Arial" w:hAnsi="Arial" w:cs="Arial"/>
                <w:color w:val="000000" w:themeColor="text1"/>
                <w:sz w:val="14"/>
                <w:szCs w:val="16"/>
              </w:rPr>
            </w:pPr>
            <w:r w:rsidRPr="00F95EDA">
              <w:rPr>
                <w:rFonts w:ascii="Arial" w:hAnsi="Arial" w:cs="Arial"/>
                <w:color w:val="000000" w:themeColor="text1"/>
                <w:sz w:val="14"/>
                <w:szCs w:val="16"/>
              </w:rPr>
              <w:t>26.92%</w:t>
            </w:r>
          </w:p>
        </w:tc>
      </w:tr>
      <w:tr w:rsidR="00F95EDA" w:rsidRPr="00F95EDA" w:rsidTr="00E94244">
        <w:tc>
          <w:tcPr>
            <w:tcW w:w="1260" w:type="dxa"/>
          </w:tcPr>
          <w:p w:rsidR="00F23926" w:rsidRPr="00F95EDA" w:rsidRDefault="00F23926" w:rsidP="00F23926">
            <w:pPr>
              <w:tabs>
                <w:tab w:val="left" w:pos="75"/>
              </w:tabs>
              <w:rPr>
                <w:rFonts w:ascii="Arial" w:hAnsi="Arial" w:cs="Arial"/>
                <w:color w:val="000000" w:themeColor="text1"/>
                <w:sz w:val="14"/>
                <w:szCs w:val="16"/>
              </w:rPr>
            </w:pPr>
            <w:r w:rsidRPr="00F95EDA">
              <w:rPr>
                <w:rFonts w:ascii="Arial" w:hAnsi="Arial" w:cs="Arial"/>
                <w:color w:val="000000" w:themeColor="text1"/>
                <w:sz w:val="14"/>
                <w:szCs w:val="16"/>
              </w:rPr>
              <w:t>CR</w:t>
            </w:r>
          </w:p>
        </w:tc>
        <w:tc>
          <w:tcPr>
            <w:tcW w:w="1620" w:type="dxa"/>
          </w:tcPr>
          <w:p w:rsidR="00F23926" w:rsidRPr="00F95EDA" w:rsidRDefault="00F23926" w:rsidP="00F23926">
            <w:pPr>
              <w:tabs>
                <w:tab w:val="left" w:pos="75"/>
              </w:tabs>
              <w:jc w:val="center"/>
              <w:rPr>
                <w:rFonts w:ascii="Arial" w:hAnsi="Arial" w:cs="Arial"/>
                <w:color w:val="000000" w:themeColor="text1"/>
                <w:sz w:val="14"/>
                <w:szCs w:val="16"/>
              </w:rPr>
            </w:pPr>
            <w:r w:rsidRPr="00F95EDA">
              <w:rPr>
                <w:rFonts w:ascii="Arial" w:hAnsi="Arial" w:cs="Arial"/>
                <w:color w:val="000000" w:themeColor="text1"/>
                <w:sz w:val="14"/>
                <w:szCs w:val="16"/>
              </w:rPr>
              <w:t>13.85%</w:t>
            </w:r>
          </w:p>
        </w:tc>
        <w:tc>
          <w:tcPr>
            <w:tcW w:w="1890" w:type="dxa"/>
          </w:tcPr>
          <w:p w:rsidR="00F23926" w:rsidRPr="00F95EDA" w:rsidRDefault="00F23926" w:rsidP="00F23926">
            <w:pPr>
              <w:tabs>
                <w:tab w:val="left" w:pos="75"/>
              </w:tabs>
              <w:jc w:val="center"/>
              <w:rPr>
                <w:rFonts w:ascii="Arial" w:hAnsi="Arial" w:cs="Arial"/>
                <w:color w:val="000000" w:themeColor="text1"/>
                <w:sz w:val="14"/>
                <w:szCs w:val="16"/>
              </w:rPr>
            </w:pPr>
            <w:r w:rsidRPr="00F95EDA">
              <w:rPr>
                <w:rFonts w:ascii="Arial" w:hAnsi="Arial" w:cs="Arial"/>
                <w:color w:val="000000" w:themeColor="text1"/>
                <w:sz w:val="14"/>
                <w:szCs w:val="16"/>
              </w:rPr>
              <w:t>0</w:t>
            </w:r>
          </w:p>
        </w:tc>
      </w:tr>
      <w:tr w:rsidR="00F95EDA" w:rsidRPr="00F95EDA" w:rsidTr="00E94244">
        <w:tc>
          <w:tcPr>
            <w:tcW w:w="1260" w:type="dxa"/>
          </w:tcPr>
          <w:p w:rsidR="00F23926" w:rsidRPr="00F95EDA" w:rsidRDefault="00F23926" w:rsidP="00F23926">
            <w:pPr>
              <w:tabs>
                <w:tab w:val="left" w:pos="75"/>
              </w:tabs>
              <w:rPr>
                <w:rFonts w:ascii="Arial" w:hAnsi="Arial" w:cs="Arial"/>
                <w:color w:val="000000" w:themeColor="text1"/>
                <w:sz w:val="14"/>
                <w:szCs w:val="16"/>
              </w:rPr>
            </w:pPr>
            <w:r w:rsidRPr="00F95EDA">
              <w:rPr>
                <w:rFonts w:ascii="Arial" w:hAnsi="Arial" w:cs="Arial"/>
                <w:color w:val="000000" w:themeColor="text1"/>
                <w:sz w:val="14"/>
                <w:szCs w:val="16"/>
              </w:rPr>
              <w:t>Normal</w:t>
            </w:r>
          </w:p>
        </w:tc>
        <w:tc>
          <w:tcPr>
            <w:tcW w:w="1620" w:type="dxa"/>
          </w:tcPr>
          <w:p w:rsidR="00F23926" w:rsidRPr="00F95EDA" w:rsidRDefault="00F23926" w:rsidP="00F23926">
            <w:pPr>
              <w:tabs>
                <w:tab w:val="left" w:pos="75"/>
              </w:tabs>
              <w:jc w:val="center"/>
              <w:rPr>
                <w:rFonts w:ascii="Arial" w:hAnsi="Arial" w:cs="Arial"/>
                <w:color w:val="000000" w:themeColor="text1"/>
                <w:sz w:val="14"/>
                <w:szCs w:val="16"/>
              </w:rPr>
            </w:pPr>
            <w:r w:rsidRPr="00F95EDA">
              <w:rPr>
                <w:rFonts w:ascii="Arial" w:hAnsi="Arial" w:cs="Arial"/>
                <w:color w:val="000000" w:themeColor="text1"/>
                <w:sz w:val="14"/>
                <w:szCs w:val="16"/>
              </w:rPr>
              <w:t>11(30.55%)</w:t>
            </w:r>
          </w:p>
        </w:tc>
        <w:tc>
          <w:tcPr>
            <w:tcW w:w="1890" w:type="dxa"/>
          </w:tcPr>
          <w:p w:rsidR="00F23926" w:rsidRPr="00F95EDA" w:rsidRDefault="00F23926" w:rsidP="00F23926">
            <w:pPr>
              <w:tabs>
                <w:tab w:val="left" w:pos="75"/>
              </w:tabs>
              <w:jc w:val="center"/>
              <w:rPr>
                <w:rFonts w:ascii="Arial" w:hAnsi="Arial" w:cs="Arial"/>
                <w:color w:val="000000" w:themeColor="text1"/>
                <w:sz w:val="14"/>
                <w:szCs w:val="16"/>
              </w:rPr>
            </w:pPr>
            <w:r w:rsidRPr="00F95EDA">
              <w:rPr>
                <w:rFonts w:ascii="Arial" w:hAnsi="Arial" w:cs="Arial"/>
                <w:color w:val="000000" w:themeColor="text1"/>
                <w:sz w:val="14"/>
                <w:szCs w:val="16"/>
              </w:rPr>
              <w:t>03(11.54%)</w:t>
            </w:r>
          </w:p>
        </w:tc>
      </w:tr>
    </w:tbl>
    <w:p w:rsidR="00F23926" w:rsidRPr="00F95EDA" w:rsidRDefault="00F23926" w:rsidP="002A4926">
      <w:pPr>
        <w:pStyle w:val="BodyText"/>
        <w:jc w:val="both"/>
        <w:rPr>
          <w:rFonts w:ascii="Arial" w:hAnsi="Arial" w:cs="Arial"/>
          <w:color w:val="000000" w:themeColor="text1"/>
          <w:sz w:val="14"/>
          <w:szCs w:val="16"/>
        </w:rPr>
      </w:pPr>
    </w:p>
    <w:p w:rsidR="00E94244" w:rsidRPr="00F95EDA" w:rsidRDefault="00E94244" w:rsidP="002A4926">
      <w:pPr>
        <w:pStyle w:val="BodyText"/>
        <w:jc w:val="both"/>
        <w:rPr>
          <w:rFonts w:ascii="Arial" w:hAnsi="Arial" w:cs="Arial"/>
          <w:color w:val="000000" w:themeColor="text1"/>
          <w:sz w:val="12"/>
          <w:szCs w:val="16"/>
        </w:rPr>
      </w:pPr>
      <w:r w:rsidRPr="00F95EDA">
        <w:rPr>
          <w:rFonts w:ascii="Arial" w:hAnsi="Arial" w:cs="Arial"/>
          <w:color w:val="000000" w:themeColor="text1"/>
          <w:sz w:val="14"/>
          <w:szCs w:val="16"/>
        </w:rPr>
        <w:t>Table 4: Correlation between plasma fibrinogen and other echo parameters</w:t>
      </w:r>
    </w:p>
    <w:tbl>
      <w:tblPr>
        <w:tblStyle w:val="TableGrid"/>
        <w:tblW w:w="0" w:type="auto"/>
        <w:tblInd w:w="108" w:type="dxa"/>
        <w:tblLook w:val="04A0" w:firstRow="1" w:lastRow="0" w:firstColumn="1" w:lastColumn="0" w:noHBand="0" w:noVBand="1"/>
      </w:tblPr>
      <w:tblGrid>
        <w:gridCol w:w="2700"/>
        <w:gridCol w:w="1080"/>
        <w:gridCol w:w="990"/>
      </w:tblGrid>
      <w:tr w:rsidR="00F95EDA" w:rsidRPr="00F95EDA" w:rsidTr="00E94244">
        <w:tc>
          <w:tcPr>
            <w:tcW w:w="2700" w:type="dxa"/>
          </w:tcPr>
          <w:p w:rsidR="00F23926" w:rsidRPr="00F95EDA" w:rsidRDefault="00F23926" w:rsidP="00F23926">
            <w:pPr>
              <w:rPr>
                <w:rFonts w:ascii="Arial" w:hAnsi="Arial" w:cs="Arial"/>
                <w:b/>
                <w:color w:val="000000" w:themeColor="text1"/>
                <w:sz w:val="14"/>
                <w:szCs w:val="14"/>
              </w:rPr>
            </w:pPr>
            <w:r w:rsidRPr="00F95EDA">
              <w:rPr>
                <w:rFonts w:ascii="Arial" w:hAnsi="Arial" w:cs="Arial"/>
                <w:b/>
                <w:color w:val="000000" w:themeColor="text1"/>
                <w:sz w:val="14"/>
                <w:szCs w:val="14"/>
              </w:rPr>
              <w:t xml:space="preserve">Correlation of plasma fibrinogen </w:t>
            </w:r>
          </w:p>
        </w:tc>
        <w:tc>
          <w:tcPr>
            <w:tcW w:w="1080" w:type="dxa"/>
          </w:tcPr>
          <w:p w:rsidR="00F23926" w:rsidRPr="00F95EDA" w:rsidRDefault="00F23926" w:rsidP="00BA1A13">
            <w:pPr>
              <w:jc w:val="center"/>
              <w:rPr>
                <w:rFonts w:ascii="Arial" w:hAnsi="Arial" w:cs="Arial"/>
                <w:b/>
                <w:color w:val="000000" w:themeColor="text1"/>
                <w:sz w:val="14"/>
                <w:szCs w:val="14"/>
              </w:rPr>
            </w:pPr>
            <w:r w:rsidRPr="00F95EDA">
              <w:rPr>
                <w:rFonts w:ascii="Arial" w:hAnsi="Arial" w:cs="Arial"/>
                <w:b/>
                <w:color w:val="000000" w:themeColor="text1"/>
                <w:sz w:val="14"/>
                <w:szCs w:val="14"/>
              </w:rPr>
              <w:t>Rho</w:t>
            </w:r>
          </w:p>
        </w:tc>
        <w:tc>
          <w:tcPr>
            <w:tcW w:w="990" w:type="dxa"/>
          </w:tcPr>
          <w:p w:rsidR="00F23926" w:rsidRPr="00F95EDA" w:rsidRDefault="00F23926" w:rsidP="00BA1A13">
            <w:pPr>
              <w:jc w:val="center"/>
              <w:rPr>
                <w:rFonts w:ascii="Arial" w:hAnsi="Arial" w:cs="Arial"/>
                <w:b/>
                <w:color w:val="000000" w:themeColor="text1"/>
                <w:sz w:val="14"/>
                <w:szCs w:val="14"/>
              </w:rPr>
            </w:pPr>
            <w:r w:rsidRPr="00F95EDA">
              <w:rPr>
                <w:rFonts w:ascii="Arial" w:hAnsi="Arial" w:cs="Arial"/>
                <w:b/>
                <w:color w:val="000000" w:themeColor="text1"/>
                <w:sz w:val="14"/>
                <w:szCs w:val="14"/>
              </w:rPr>
              <w:t>p value</w:t>
            </w:r>
          </w:p>
        </w:tc>
      </w:tr>
      <w:tr w:rsidR="00F95EDA" w:rsidRPr="00F95EDA" w:rsidTr="00E94244">
        <w:tc>
          <w:tcPr>
            <w:tcW w:w="2700" w:type="dxa"/>
          </w:tcPr>
          <w:p w:rsidR="00F23926" w:rsidRPr="00F95EDA" w:rsidRDefault="00F23926" w:rsidP="00F23926">
            <w:pPr>
              <w:rPr>
                <w:rFonts w:ascii="Arial" w:hAnsi="Arial" w:cs="Arial"/>
                <w:color w:val="000000" w:themeColor="text1"/>
                <w:sz w:val="14"/>
                <w:szCs w:val="14"/>
              </w:rPr>
            </w:pPr>
            <w:r w:rsidRPr="00F95EDA">
              <w:rPr>
                <w:rFonts w:ascii="Arial" w:hAnsi="Arial" w:cs="Arial"/>
                <w:color w:val="000000" w:themeColor="text1"/>
                <w:sz w:val="14"/>
                <w:szCs w:val="14"/>
              </w:rPr>
              <w:t>Age</w:t>
            </w:r>
          </w:p>
        </w:tc>
        <w:tc>
          <w:tcPr>
            <w:tcW w:w="108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-0.039</w:t>
            </w:r>
          </w:p>
        </w:tc>
        <w:tc>
          <w:tcPr>
            <w:tcW w:w="99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0.76</w:t>
            </w:r>
          </w:p>
        </w:tc>
      </w:tr>
      <w:tr w:rsidR="00F95EDA" w:rsidRPr="00F95EDA" w:rsidTr="00E94244">
        <w:tc>
          <w:tcPr>
            <w:tcW w:w="2700" w:type="dxa"/>
          </w:tcPr>
          <w:p w:rsidR="00F23926" w:rsidRPr="00F95EDA" w:rsidRDefault="00F23926" w:rsidP="00F23926">
            <w:pPr>
              <w:rPr>
                <w:rFonts w:ascii="Arial" w:hAnsi="Arial" w:cs="Arial"/>
                <w:color w:val="000000" w:themeColor="text1"/>
                <w:sz w:val="14"/>
                <w:szCs w:val="14"/>
              </w:rPr>
            </w:pPr>
            <w:r w:rsidRPr="00F95EDA">
              <w:rPr>
                <w:rFonts w:ascii="Arial" w:hAnsi="Arial" w:cs="Arial"/>
                <w:color w:val="000000" w:themeColor="text1"/>
                <w:sz w:val="14"/>
                <w:szCs w:val="14"/>
              </w:rPr>
              <w:t>BMI</w:t>
            </w:r>
          </w:p>
        </w:tc>
        <w:tc>
          <w:tcPr>
            <w:tcW w:w="108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0.316</w:t>
            </w:r>
          </w:p>
        </w:tc>
        <w:tc>
          <w:tcPr>
            <w:tcW w:w="99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&lt;0.001 *</w:t>
            </w:r>
          </w:p>
        </w:tc>
      </w:tr>
      <w:tr w:rsidR="00F95EDA" w:rsidRPr="00F95EDA" w:rsidTr="00E94244">
        <w:tc>
          <w:tcPr>
            <w:tcW w:w="2700" w:type="dxa"/>
          </w:tcPr>
          <w:p w:rsidR="00F23926" w:rsidRPr="00F95EDA" w:rsidRDefault="00F23926" w:rsidP="00F23926">
            <w:pPr>
              <w:rPr>
                <w:rFonts w:ascii="Arial" w:hAnsi="Arial" w:cs="Arial"/>
                <w:color w:val="000000" w:themeColor="text1"/>
                <w:sz w:val="14"/>
                <w:szCs w:val="14"/>
              </w:rPr>
            </w:pPr>
            <w:r w:rsidRPr="00F95EDA">
              <w:rPr>
                <w:rFonts w:ascii="Arial" w:hAnsi="Arial" w:cs="Arial"/>
                <w:color w:val="000000" w:themeColor="text1"/>
                <w:sz w:val="14"/>
                <w:szCs w:val="14"/>
              </w:rPr>
              <w:t>Serum creatinine</w:t>
            </w:r>
          </w:p>
        </w:tc>
        <w:tc>
          <w:tcPr>
            <w:tcW w:w="108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0.038</w:t>
            </w:r>
          </w:p>
        </w:tc>
        <w:tc>
          <w:tcPr>
            <w:tcW w:w="99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0.76</w:t>
            </w:r>
          </w:p>
        </w:tc>
      </w:tr>
      <w:tr w:rsidR="00F95EDA" w:rsidRPr="00F95EDA" w:rsidTr="00E94244">
        <w:tc>
          <w:tcPr>
            <w:tcW w:w="2700" w:type="dxa"/>
          </w:tcPr>
          <w:p w:rsidR="00F23926" w:rsidRPr="00F95EDA" w:rsidRDefault="00F23926" w:rsidP="00F23926">
            <w:pPr>
              <w:rPr>
                <w:rFonts w:ascii="Arial" w:hAnsi="Arial" w:cs="Arial"/>
                <w:color w:val="000000" w:themeColor="text1"/>
                <w:sz w:val="14"/>
                <w:szCs w:val="14"/>
              </w:rPr>
            </w:pPr>
            <w:r w:rsidRPr="00F95EDA">
              <w:rPr>
                <w:rFonts w:ascii="Arial" w:hAnsi="Arial" w:cs="Arial"/>
                <w:color w:val="000000" w:themeColor="text1"/>
                <w:sz w:val="14"/>
                <w:szCs w:val="14"/>
              </w:rPr>
              <w:t>eGFR</w:t>
            </w:r>
          </w:p>
        </w:tc>
        <w:tc>
          <w:tcPr>
            <w:tcW w:w="108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-0.121</w:t>
            </w:r>
          </w:p>
        </w:tc>
        <w:tc>
          <w:tcPr>
            <w:tcW w:w="99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0.34</w:t>
            </w:r>
          </w:p>
        </w:tc>
      </w:tr>
      <w:tr w:rsidR="00F95EDA" w:rsidRPr="00F95EDA" w:rsidTr="00E94244">
        <w:tc>
          <w:tcPr>
            <w:tcW w:w="2700" w:type="dxa"/>
          </w:tcPr>
          <w:p w:rsidR="00F23926" w:rsidRPr="00F95EDA" w:rsidRDefault="00F23926" w:rsidP="00F23926">
            <w:pPr>
              <w:rPr>
                <w:rFonts w:ascii="Arial" w:hAnsi="Arial" w:cs="Arial"/>
                <w:color w:val="000000" w:themeColor="text1"/>
                <w:sz w:val="14"/>
                <w:szCs w:val="14"/>
              </w:rPr>
            </w:pPr>
            <w:r w:rsidRPr="00F95EDA">
              <w:rPr>
                <w:rFonts w:ascii="Arial" w:hAnsi="Arial" w:cs="Arial"/>
                <w:color w:val="000000" w:themeColor="text1"/>
                <w:sz w:val="14"/>
                <w:szCs w:val="14"/>
              </w:rPr>
              <w:t>LVMI=Left ventricular mass index</w:t>
            </w:r>
          </w:p>
        </w:tc>
        <w:tc>
          <w:tcPr>
            <w:tcW w:w="108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-0.099</w:t>
            </w:r>
          </w:p>
        </w:tc>
        <w:tc>
          <w:tcPr>
            <w:tcW w:w="99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0.44</w:t>
            </w:r>
          </w:p>
        </w:tc>
      </w:tr>
      <w:tr w:rsidR="00F95EDA" w:rsidRPr="00F95EDA" w:rsidTr="00E94244">
        <w:tc>
          <w:tcPr>
            <w:tcW w:w="2700" w:type="dxa"/>
          </w:tcPr>
          <w:p w:rsidR="00F23926" w:rsidRPr="00F95EDA" w:rsidRDefault="00F23926" w:rsidP="00F23926">
            <w:pPr>
              <w:rPr>
                <w:rFonts w:ascii="Arial" w:hAnsi="Arial" w:cs="Arial"/>
                <w:color w:val="000000" w:themeColor="text1"/>
                <w:sz w:val="14"/>
                <w:szCs w:val="14"/>
              </w:rPr>
            </w:pPr>
            <w:r w:rsidRPr="00F95EDA">
              <w:rPr>
                <w:rFonts w:ascii="Arial" w:hAnsi="Arial" w:cs="Arial"/>
                <w:color w:val="000000" w:themeColor="text1"/>
                <w:sz w:val="14"/>
                <w:szCs w:val="14"/>
              </w:rPr>
              <w:t>LVEF</w:t>
            </w:r>
          </w:p>
        </w:tc>
        <w:tc>
          <w:tcPr>
            <w:tcW w:w="108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0.104</w:t>
            </w:r>
          </w:p>
        </w:tc>
        <w:tc>
          <w:tcPr>
            <w:tcW w:w="99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0.42</w:t>
            </w:r>
          </w:p>
        </w:tc>
      </w:tr>
      <w:tr w:rsidR="00F95EDA" w:rsidRPr="00F95EDA" w:rsidTr="00E94244">
        <w:tc>
          <w:tcPr>
            <w:tcW w:w="2700" w:type="dxa"/>
          </w:tcPr>
          <w:p w:rsidR="00F23926" w:rsidRPr="00F95EDA" w:rsidRDefault="00F23926" w:rsidP="00F23926">
            <w:pPr>
              <w:rPr>
                <w:rFonts w:ascii="Arial" w:hAnsi="Arial" w:cs="Arial"/>
                <w:color w:val="000000" w:themeColor="text1"/>
                <w:sz w:val="14"/>
                <w:szCs w:val="14"/>
              </w:rPr>
            </w:pPr>
            <w:r w:rsidRPr="00F95EDA">
              <w:rPr>
                <w:rFonts w:ascii="Arial" w:hAnsi="Arial" w:cs="Arial"/>
                <w:color w:val="000000" w:themeColor="text1"/>
                <w:sz w:val="14"/>
                <w:szCs w:val="14"/>
              </w:rPr>
              <w:t>RWT</w:t>
            </w:r>
          </w:p>
        </w:tc>
        <w:tc>
          <w:tcPr>
            <w:tcW w:w="108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0.193</w:t>
            </w:r>
          </w:p>
        </w:tc>
        <w:tc>
          <w:tcPr>
            <w:tcW w:w="990" w:type="dxa"/>
          </w:tcPr>
          <w:p w:rsidR="00F23926" w:rsidRPr="00F95EDA" w:rsidRDefault="00F23926" w:rsidP="00BA1A13">
            <w:pPr>
              <w:jc w:val="center"/>
              <w:rPr>
                <w:rFonts w:ascii="Arial" w:hAnsi="Arial" w:cs="Arial"/>
                <w:color w:val="000000" w:themeColor="text1"/>
                <w:sz w:val="14"/>
                <w:szCs w:val="14"/>
              </w:rPr>
            </w:pPr>
            <w:r w:rsidRPr="00F95EDA">
              <w:rPr>
                <w:rFonts w:ascii="Arial" w:hAnsi="Arial" w:cs="Arial"/>
                <w:color w:val="000000" w:themeColor="text1"/>
                <w:sz w:val="14"/>
                <w:szCs w:val="14"/>
              </w:rPr>
              <w:t>0.13</w:t>
            </w:r>
          </w:p>
        </w:tc>
      </w:tr>
    </w:tbl>
    <w:p w:rsidR="00F23926" w:rsidRPr="00F95EDA" w:rsidRDefault="00F23926" w:rsidP="002A4926">
      <w:pPr>
        <w:pStyle w:val="BodyText"/>
        <w:jc w:val="both"/>
        <w:rPr>
          <w:rFonts w:ascii="Arial" w:hAnsi="Arial" w:cs="Arial"/>
          <w:b/>
          <w:color w:val="000000" w:themeColor="text1"/>
          <w:sz w:val="16"/>
          <w:szCs w:val="16"/>
        </w:rPr>
      </w:pPr>
      <w:r w:rsidRPr="00F95EDA">
        <w:rPr>
          <w:rFonts w:ascii="Arial" w:hAnsi="Arial" w:cs="Arial"/>
          <w:color w:val="000000" w:themeColor="text1"/>
          <w:sz w:val="14"/>
          <w:szCs w:val="16"/>
        </w:rPr>
        <w:t>*Statistically significant</w:t>
      </w:r>
    </w:p>
    <w:p w:rsidR="00F23926" w:rsidRPr="00F95EDA" w:rsidRDefault="00F23926" w:rsidP="002A4926">
      <w:pPr>
        <w:pStyle w:val="BodyText"/>
        <w:jc w:val="both"/>
        <w:rPr>
          <w:rFonts w:ascii="Arial" w:hAnsi="Arial" w:cs="Arial"/>
          <w:b/>
          <w:color w:val="000000" w:themeColor="text1"/>
          <w:sz w:val="16"/>
          <w:szCs w:val="16"/>
        </w:rPr>
      </w:pPr>
    </w:p>
    <w:p w:rsidR="00D07637" w:rsidRPr="00F95EDA" w:rsidRDefault="00C94AB4" w:rsidP="002A4926">
      <w:pPr>
        <w:pStyle w:val="BodyText"/>
        <w:jc w:val="both"/>
        <w:rPr>
          <w:rFonts w:ascii="Arial" w:hAnsi="Arial" w:cs="Arial"/>
          <w:color w:val="000000" w:themeColor="text1"/>
          <w:sz w:val="20"/>
          <w:szCs w:val="16"/>
        </w:rPr>
      </w:pPr>
      <w:r w:rsidRPr="00F95EDA">
        <w:rPr>
          <w:rFonts w:ascii="Arial" w:hAnsi="Arial" w:cs="Arial"/>
          <w:b/>
          <w:color w:val="000000" w:themeColor="text1"/>
          <w:sz w:val="20"/>
          <w:szCs w:val="16"/>
        </w:rPr>
        <w:t>DISCUSSION</w:t>
      </w:r>
    </w:p>
    <w:p w:rsidR="002A4926" w:rsidRPr="00F95EDA" w:rsidRDefault="002A4926" w:rsidP="002A4926">
      <w:pPr>
        <w:spacing w:after="0" w:line="240" w:lineRule="auto"/>
        <w:jc w:val="both"/>
        <w:rPr>
          <w:rFonts w:ascii="Arial" w:hAnsi="Arial" w:cs="Arial"/>
          <w:color w:val="000000" w:themeColor="text1"/>
          <w:sz w:val="10"/>
          <w:szCs w:val="16"/>
        </w:rPr>
      </w:pPr>
    </w:p>
    <w:p w:rsidR="007C0A9B" w:rsidRPr="00F95EDA" w:rsidRDefault="0028122C" w:rsidP="002A4926">
      <w:pPr>
        <w:spacing w:after="0" w:line="240" w:lineRule="auto"/>
        <w:jc w:val="both"/>
        <w:rPr>
          <w:rFonts w:ascii="Arial" w:hAnsi="Arial" w:cs="Arial"/>
          <w:color w:val="000000" w:themeColor="text1"/>
          <w:sz w:val="16"/>
          <w:szCs w:val="16"/>
        </w:rPr>
      </w:pPr>
      <w:r w:rsidRPr="00F95EDA">
        <w:rPr>
          <w:rFonts w:ascii="Arial" w:hAnsi="Arial" w:cs="Arial"/>
          <w:color w:val="000000" w:themeColor="text1"/>
          <w:sz w:val="16"/>
          <w:szCs w:val="16"/>
        </w:rPr>
        <w:t xml:space="preserve">According to literature review </w:t>
      </w:r>
      <w:r w:rsidR="00F53503" w:rsidRPr="00F95EDA">
        <w:rPr>
          <w:rFonts w:ascii="Arial" w:hAnsi="Arial" w:cs="Arial"/>
          <w:color w:val="000000" w:themeColor="text1"/>
          <w:sz w:val="16"/>
          <w:szCs w:val="16"/>
        </w:rPr>
        <w:t>echo is an investigation of choice to get</w:t>
      </w:r>
      <w:r w:rsidR="007C0A9B" w:rsidRPr="00F95EDA">
        <w:rPr>
          <w:rFonts w:ascii="Arial" w:hAnsi="Arial" w:cs="Arial"/>
          <w:color w:val="000000" w:themeColor="text1"/>
          <w:sz w:val="16"/>
          <w:szCs w:val="16"/>
        </w:rPr>
        <w:t xml:space="preserve"> direct information concerning left ventricular wall thickness and chamber size</w:t>
      </w:r>
      <w:r w:rsidR="00F53503" w:rsidRPr="00F95EDA">
        <w:rPr>
          <w:rFonts w:ascii="Arial" w:hAnsi="Arial" w:cs="Arial"/>
          <w:color w:val="000000" w:themeColor="text1"/>
          <w:sz w:val="16"/>
          <w:szCs w:val="16"/>
          <w:vertAlign w:val="superscript"/>
        </w:rPr>
        <w:t>12</w:t>
      </w:r>
      <w:r w:rsidR="00CE3114" w:rsidRPr="00F95EDA">
        <w:rPr>
          <w:rFonts w:ascii="Arial" w:hAnsi="Arial" w:cs="Arial"/>
          <w:color w:val="000000" w:themeColor="text1"/>
          <w:sz w:val="16"/>
          <w:szCs w:val="16"/>
        </w:rPr>
        <w:t>.</w:t>
      </w:r>
      <w:r w:rsidR="007C0A9B" w:rsidRPr="00F95EDA">
        <w:rPr>
          <w:rFonts w:ascii="Arial" w:hAnsi="Arial" w:cs="Arial"/>
          <w:color w:val="000000" w:themeColor="text1"/>
          <w:sz w:val="16"/>
          <w:szCs w:val="16"/>
        </w:rPr>
        <w:t xml:space="preserve"> In the present study</w:t>
      </w:r>
      <w:r w:rsidR="00D04868" w:rsidRPr="00F95EDA">
        <w:rPr>
          <w:rFonts w:ascii="Arial" w:hAnsi="Arial" w:cs="Arial"/>
          <w:color w:val="000000" w:themeColor="text1"/>
          <w:sz w:val="16"/>
          <w:szCs w:val="16"/>
        </w:rPr>
        <w:t>, almost</w:t>
      </w:r>
      <w:r w:rsidR="007C0A9B" w:rsidRPr="00F95EDA">
        <w:rPr>
          <w:rFonts w:ascii="Arial" w:hAnsi="Arial" w:cs="Arial"/>
          <w:color w:val="000000" w:themeColor="text1"/>
          <w:sz w:val="16"/>
          <w:szCs w:val="16"/>
        </w:rPr>
        <w:t xml:space="preserve"> 66.1% CKD patients </w:t>
      </w:r>
      <w:r w:rsidR="00D04868" w:rsidRPr="00F95EDA">
        <w:rPr>
          <w:rFonts w:ascii="Arial" w:hAnsi="Arial" w:cs="Arial"/>
          <w:color w:val="000000" w:themeColor="text1"/>
          <w:sz w:val="16"/>
          <w:szCs w:val="16"/>
        </w:rPr>
        <w:lastRenderedPageBreak/>
        <w:t>had LVH on echo</w:t>
      </w:r>
      <w:r w:rsidR="007C0A9B" w:rsidRPr="00F95EDA">
        <w:rPr>
          <w:rFonts w:ascii="Arial" w:hAnsi="Arial" w:cs="Arial"/>
          <w:color w:val="000000" w:themeColor="text1"/>
          <w:sz w:val="16"/>
          <w:szCs w:val="16"/>
        </w:rPr>
        <w:t xml:space="preserve">. </w:t>
      </w:r>
      <w:r w:rsidR="00D04868" w:rsidRPr="00F95EDA">
        <w:rPr>
          <w:rFonts w:ascii="Arial" w:hAnsi="Arial" w:cs="Arial"/>
          <w:color w:val="000000" w:themeColor="text1"/>
          <w:sz w:val="16"/>
          <w:szCs w:val="16"/>
        </w:rPr>
        <w:t>Our results were similar to many other studies that showed more than 50% LVH were identified by echo</w:t>
      </w:r>
      <w:r w:rsidR="00D04868" w:rsidRPr="00F95EDA">
        <w:rPr>
          <w:rFonts w:ascii="Arial" w:hAnsi="Arial" w:cs="Arial"/>
          <w:color w:val="000000" w:themeColor="text1"/>
          <w:sz w:val="16"/>
          <w:szCs w:val="16"/>
          <w:vertAlign w:val="superscript"/>
        </w:rPr>
        <w:t>12,13</w:t>
      </w:r>
      <w:r w:rsidR="00EA0AF0" w:rsidRPr="00F95EDA">
        <w:rPr>
          <w:rFonts w:ascii="Arial" w:hAnsi="Arial" w:cs="Arial"/>
          <w:color w:val="000000" w:themeColor="text1"/>
          <w:sz w:val="16"/>
          <w:szCs w:val="16"/>
        </w:rPr>
        <w:t>.</w:t>
      </w:r>
    </w:p>
    <w:p w:rsidR="007C0A9B" w:rsidRPr="00F95EDA" w:rsidRDefault="007C0A9B" w:rsidP="00EA0AF0">
      <w:pPr>
        <w:spacing w:after="0" w:line="240" w:lineRule="auto"/>
        <w:ind w:firstLine="432"/>
        <w:jc w:val="both"/>
        <w:rPr>
          <w:rFonts w:ascii="Arial" w:hAnsi="Arial" w:cs="Arial"/>
          <w:color w:val="000000" w:themeColor="text1"/>
          <w:sz w:val="16"/>
          <w:szCs w:val="16"/>
        </w:rPr>
      </w:pPr>
      <w:r w:rsidRPr="00F95EDA">
        <w:rPr>
          <w:rFonts w:ascii="Arial" w:hAnsi="Arial" w:cs="Arial"/>
          <w:color w:val="000000" w:themeColor="text1"/>
          <w:sz w:val="16"/>
          <w:szCs w:val="16"/>
        </w:rPr>
        <w:t xml:space="preserve">Our </w:t>
      </w:r>
      <w:r w:rsidR="00190770" w:rsidRPr="00F95EDA">
        <w:rPr>
          <w:rFonts w:ascii="Arial" w:hAnsi="Arial" w:cs="Arial"/>
          <w:color w:val="000000" w:themeColor="text1"/>
          <w:sz w:val="16"/>
          <w:szCs w:val="16"/>
        </w:rPr>
        <w:t>results showed</w:t>
      </w:r>
      <w:r w:rsidRPr="00F95EDA">
        <w:rPr>
          <w:rFonts w:ascii="Arial" w:hAnsi="Arial" w:cs="Arial"/>
          <w:color w:val="000000" w:themeColor="text1"/>
          <w:sz w:val="16"/>
          <w:szCs w:val="16"/>
        </w:rPr>
        <w:t xml:space="preserve"> that 80.76% patients of CKD stage 4 while 55.55% stage 3 patients have LVH. </w:t>
      </w:r>
      <w:r w:rsidR="00190770" w:rsidRPr="00F95EDA">
        <w:rPr>
          <w:rFonts w:ascii="Arial" w:hAnsi="Arial" w:cs="Arial"/>
          <w:color w:val="000000" w:themeColor="text1"/>
          <w:sz w:val="16"/>
          <w:szCs w:val="16"/>
        </w:rPr>
        <w:t xml:space="preserve">Similar results have been reported by previous studies that documented </w:t>
      </w:r>
      <w:r w:rsidRPr="00F95EDA">
        <w:rPr>
          <w:rFonts w:ascii="Arial" w:hAnsi="Arial" w:cs="Arial"/>
          <w:color w:val="000000" w:themeColor="text1"/>
          <w:sz w:val="16"/>
          <w:szCs w:val="16"/>
        </w:rPr>
        <w:t xml:space="preserve">higher prevalence of hypertrophy </w:t>
      </w:r>
      <w:r w:rsidR="00190770" w:rsidRPr="00F95EDA">
        <w:rPr>
          <w:rFonts w:ascii="Arial" w:hAnsi="Arial" w:cs="Arial"/>
          <w:color w:val="000000" w:themeColor="text1"/>
          <w:sz w:val="16"/>
          <w:szCs w:val="16"/>
        </w:rPr>
        <w:t>(34-</w:t>
      </w:r>
      <w:r w:rsidRPr="00F95EDA">
        <w:rPr>
          <w:rFonts w:ascii="Arial" w:hAnsi="Arial" w:cs="Arial"/>
          <w:color w:val="000000" w:themeColor="text1"/>
          <w:sz w:val="16"/>
          <w:szCs w:val="16"/>
        </w:rPr>
        <w:t>80%</w:t>
      </w:r>
      <w:r w:rsidR="00190770" w:rsidRPr="00F95EDA">
        <w:rPr>
          <w:rFonts w:ascii="Arial" w:hAnsi="Arial" w:cs="Arial"/>
          <w:color w:val="000000" w:themeColor="text1"/>
          <w:sz w:val="16"/>
          <w:szCs w:val="16"/>
        </w:rPr>
        <w:t>)</w:t>
      </w:r>
      <w:r w:rsidRPr="00F95EDA">
        <w:rPr>
          <w:rFonts w:ascii="Arial" w:hAnsi="Arial" w:cs="Arial"/>
          <w:color w:val="000000" w:themeColor="text1"/>
          <w:sz w:val="16"/>
          <w:szCs w:val="16"/>
        </w:rPr>
        <w:t xml:space="preserve"> with declining renal function</w:t>
      </w:r>
      <w:r w:rsidR="00190770" w:rsidRPr="00F95EDA">
        <w:rPr>
          <w:rFonts w:ascii="Arial" w:hAnsi="Arial" w:cs="Arial"/>
          <w:color w:val="000000" w:themeColor="text1"/>
          <w:sz w:val="16"/>
          <w:szCs w:val="16"/>
        </w:rPr>
        <w:t xml:space="preserve"> among CKD patients.</w:t>
      </w:r>
      <w:r w:rsidR="00596259" w:rsidRPr="00F95EDA">
        <w:rPr>
          <w:rFonts w:ascii="Arial" w:hAnsi="Arial" w:cs="Arial"/>
          <w:color w:val="000000" w:themeColor="text1"/>
          <w:sz w:val="16"/>
          <w:szCs w:val="16"/>
          <w:vertAlign w:val="superscript"/>
        </w:rPr>
        <w:t>14</w:t>
      </w:r>
      <w:r w:rsidRPr="00F95EDA">
        <w:rPr>
          <w:rFonts w:ascii="Arial" w:hAnsi="Arial" w:cs="Arial"/>
          <w:color w:val="000000" w:themeColor="text1"/>
          <w:sz w:val="16"/>
          <w:szCs w:val="16"/>
        </w:rPr>
        <w:t xml:space="preserve"> </w:t>
      </w:r>
      <w:r w:rsidR="00596259" w:rsidRPr="00F95EDA">
        <w:rPr>
          <w:rFonts w:ascii="Arial" w:hAnsi="Arial" w:cs="Arial"/>
          <w:color w:val="000000" w:themeColor="text1"/>
          <w:sz w:val="16"/>
          <w:szCs w:val="16"/>
        </w:rPr>
        <w:t>It has been reported that w</w:t>
      </w:r>
      <w:r w:rsidRPr="00F95EDA">
        <w:rPr>
          <w:rFonts w:ascii="Arial" w:hAnsi="Arial" w:cs="Arial"/>
          <w:color w:val="000000" w:themeColor="text1"/>
          <w:sz w:val="16"/>
          <w:szCs w:val="16"/>
        </w:rPr>
        <w:t xml:space="preserve">ide variation in </w:t>
      </w:r>
      <w:r w:rsidR="00596259" w:rsidRPr="00F95EDA">
        <w:rPr>
          <w:rFonts w:ascii="Arial" w:hAnsi="Arial" w:cs="Arial"/>
          <w:color w:val="000000" w:themeColor="text1"/>
          <w:sz w:val="16"/>
          <w:szCs w:val="16"/>
        </w:rPr>
        <w:t xml:space="preserve">its </w:t>
      </w:r>
      <w:r w:rsidRPr="00F95EDA">
        <w:rPr>
          <w:rFonts w:ascii="Arial" w:hAnsi="Arial" w:cs="Arial"/>
          <w:color w:val="000000" w:themeColor="text1"/>
          <w:sz w:val="16"/>
          <w:szCs w:val="16"/>
        </w:rPr>
        <w:t xml:space="preserve">prevalence </w:t>
      </w:r>
      <w:r w:rsidR="00596259" w:rsidRPr="00F95EDA">
        <w:rPr>
          <w:rFonts w:ascii="Arial" w:hAnsi="Arial" w:cs="Arial"/>
          <w:color w:val="000000" w:themeColor="text1"/>
          <w:sz w:val="16"/>
          <w:szCs w:val="16"/>
        </w:rPr>
        <w:t xml:space="preserve">has been contributed by </w:t>
      </w:r>
      <w:r w:rsidRPr="00F95EDA">
        <w:rPr>
          <w:rFonts w:ascii="Arial" w:hAnsi="Arial" w:cs="Arial"/>
          <w:color w:val="000000" w:themeColor="text1"/>
          <w:sz w:val="16"/>
          <w:szCs w:val="16"/>
        </w:rPr>
        <w:t xml:space="preserve">non-availability of medical </w:t>
      </w:r>
      <w:r w:rsidR="00596259" w:rsidRPr="00F95EDA">
        <w:rPr>
          <w:rFonts w:ascii="Arial" w:hAnsi="Arial" w:cs="Arial"/>
          <w:color w:val="000000" w:themeColor="text1"/>
          <w:sz w:val="16"/>
          <w:szCs w:val="16"/>
        </w:rPr>
        <w:t xml:space="preserve">record and </w:t>
      </w:r>
      <w:r w:rsidRPr="00F95EDA">
        <w:rPr>
          <w:rFonts w:ascii="Arial" w:hAnsi="Arial" w:cs="Arial"/>
          <w:color w:val="000000" w:themeColor="text1"/>
          <w:sz w:val="16"/>
          <w:szCs w:val="16"/>
        </w:rPr>
        <w:t xml:space="preserve">use of different </w:t>
      </w:r>
      <w:r w:rsidR="00596259" w:rsidRPr="00F95EDA">
        <w:rPr>
          <w:rFonts w:ascii="Arial" w:hAnsi="Arial" w:cs="Arial"/>
          <w:color w:val="000000" w:themeColor="text1"/>
          <w:sz w:val="16"/>
          <w:szCs w:val="16"/>
        </w:rPr>
        <w:t>methodology for calculating LVM</w:t>
      </w:r>
      <w:r w:rsidR="00596259" w:rsidRPr="00F95EDA">
        <w:rPr>
          <w:rFonts w:ascii="Arial" w:hAnsi="Arial" w:cs="Arial"/>
          <w:color w:val="000000" w:themeColor="text1"/>
          <w:sz w:val="16"/>
          <w:szCs w:val="16"/>
          <w:vertAlign w:val="superscript"/>
        </w:rPr>
        <w:t>15</w:t>
      </w:r>
      <w:r w:rsidR="00EA0AF0" w:rsidRPr="00F95EDA">
        <w:rPr>
          <w:rFonts w:ascii="Arial" w:hAnsi="Arial" w:cs="Arial"/>
          <w:color w:val="000000" w:themeColor="text1"/>
          <w:sz w:val="16"/>
          <w:szCs w:val="16"/>
        </w:rPr>
        <w:t>.</w:t>
      </w:r>
    </w:p>
    <w:p w:rsidR="00701CC5" w:rsidRPr="00F95EDA" w:rsidRDefault="00701CC5" w:rsidP="00EA0AF0">
      <w:pPr>
        <w:spacing w:after="0" w:line="240" w:lineRule="auto"/>
        <w:ind w:firstLine="432"/>
        <w:jc w:val="both"/>
        <w:rPr>
          <w:rFonts w:ascii="Arial" w:hAnsi="Arial" w:cs="Arial"/>
          <w:color w:val="000000" w:themeColor="text1"/>
          <w:sz w:val="16"/>
          <w:szCs w:val="16"/>
        </w:rPr>
      </w:pPr>
      <w:r w:rsidRPr="00F95EDA">
        <w:rPr>
          <w:rFonts w:ascii="Arial" w:hAnsi="Arial" w:cs="Arial"/>
          <w:color w:val="000000" w:themeColor="text1"/>
          <w:sz w:val="16"/>
          <w:szCs w:val="16"/>
        </w:rPr>
        <w:t>One previous study reported that plasma fibrinogen levels were raised in ESRD patients undergoing dialysis and increased fibrinogen levels were associated with decreased ejection fraction indicating that it was a better marker of myocardial involvement in these patients. This can be due to more pronounced inflammation in ESRD patients</w:t>
      </w:r>
      <w:r w:rsidRPr="00F95EDA">
        <w:rPr>
          <w:rFonts w:ascii="Arial" w:hAnsi="Arial" w:cs="Arial"/>
          <w:color w:val="000000" w:themeColor="text1"/>
          <w:sz w:val="16"/>
          <w:szCs w:val="16"/>
          <w:vertAlign w:val="superscript"/>
        </w:rPr>
        <w:t>16</w:t>
      </w:r>
      <w:r w:rsidR="00EA0AF0" w:rsidRPr="00F95EDA">
        <w:rPr>
          <w:rFonts w:ascii="Arial" w:hAnsi="Arial" w:cs="Arial"/>
          <w:color w:val="000000" w:themeColor="text1"/>
          <w:sz w:val="16"/>
          <w:szCs w:val="16"/>
        </w:rPr>
        <w:t>.</w:t>
      </w:r>
      <w:r w:rsidRPr="00F95EDA">
        <w:rPr>
          <w:rFonts w:ascii="Arial" w:hAnsi="Arial" w:cs="Arial"/>
          <w:color w:val="000000" w:themeColor="text1"/>
          <w:sz w:val="16"/>
          <w:szCs w:val="16"/>
        </w:rPr>
        <w:t xml:space="preserve"> Whereas our study population comprises of stage 3 and stage 4 CKD patients. However another study, first time reported that significant positive correlation between LVMI and plasma fibrinogen in pre-dialysis CKD patients. This finding may be attributed to high prevalence (78%) of LVH and diabetes in the study population and higher prevalence of vascular disease among diabetics</w:t>
      </w:r>
      <w:r w:rsidRPr="00F95EDA">
        <w:rPr>
          <w:rFonts w:ascii="Arial" w:hAnsi="Arial" w:cs="Arial"/>
          <w:color w:val="000000" w:themeColor="text1"/>
          <w:sz w:val="16"/>
          <w:szCs w:val="16"/>
          <w:vertAlign w:val="superscript"/>
        </w:rPr>
        <w:t>17</w:t>
      </w:r>
      <w:r w:rsidR="002A4926" w:rsidRPr="00F95EDA">
        <w:rPr>
          <w:rFonts w:ascii="Arial" w:hAnsi="Arial" w:cs="Arial"/>
          <w:color w:val="000000" w:themeColor="text1"/>
          <w:sz w:val="16"/>
          <w:szCs w:val="16"/>
        </w:rPr>
        <w:t>.</w:t>
      </w:r>
      <w:r w:rsidRPr="00F95EDA">
        <w:rPr>
          <w:rFonts w:ascii="Arial" w:hAnsi="Arial" w:cs="Arial"/>
          <w:color w:val="000000" w:themeColor="text1"/>
          <w:sz w:val="16"/>
          <w:szCs w:val="16"/>
        </w:rPr>
        <w:t xml:space="preserve"> Their results were paradoxical to our results that showed negative relationship between LVMI and plasma fibrinogen.</w:t>
      </w:r>
    </w:p>
    <w:p w:rsidR="007C0A9B" w:rsidRPr="00F95EDA" w:rsidRDefault="00B742E9" w:rsidP="002A4926">
      <w:pPr>
        <w:pStyle w:val="BodyText"/>
        <w:ind w:firstLine="432"/>
        <w:jc w:val="both"/>
        <w:rPr>
          <w:rFonts w:ascii="Arial" w:hAnsi="Arial" w:cs="Arial"/>
          <w:color w:val="000000" w:themeColor="text1"/>
          <w:sz w:val="16"/>
          <w:szCs w:val="16"/>
        </w:rPr>
      </w:pPr>
      <w:r w:rsidRPr="00F95EDA">
        <w:rPr>
          <w:rFonts w:ascii="Arial" w:hAnsi="Arial" w:cs="Arial"/>
          <w:color w:val="000000" w:themeColor="text1"/>
          <w:sz w:val="16"/>
          <w:szCs w:val="16"/>
        </w:rPr>
        <w:t xml:space="preserve">Present study showed that </w:t>
      </w:r>
      <w:r w:rsidR="00171859" w:rsidRPr="00F95EDA">
        <w:rPr>
          <w:rFonts w:ascii="Arial" w:hAnsi="Arial" w:cs="Arial"/>
          <w:color w:val="000000" w:themeColor="text1"/>
          <w:sz w:val="16"/>
          <w:szCs w:val="16"/>
        </w:rPr>
        <w:t>mean LVMI wa</w:t>
      </w:r>
      <w:r w:rsidR="007C0A9B" w:rsidRPr="00F95EDA">
        <w:rPr>
          <w:rFonts w:ascii="Arial" w:hAnsi="Arial" w:cs="Arial"/>
          <w:color w:val="000000" w:themeColor="text1"/>
          <w:sz w:val="16"/>
          <w:szCs w:val="16"/>
        </w:rPr>
        <w:t xml:space="preserve">s non-significantly greater in males than females. </w:t>
      </w:r>
      <w:r w:rsidR="00171859" w:rsidRPr="00F95EDA">
        <w:rPr>
          <w:rFonts w:ascii="Arial" w:hAnsi="Arial" w:cs="Arial"/>
          <w:color w:val="000000" w:themeColor="text1"/>
          <w:sz w:val="16"/>
          <w:szCs w:val="16"/>
        </w:rPr>
        <w:t>It has been documented that LVMI</w:t>
      </w:r>
      <w:r w:rsidR="007C0A9B" w:rsidRPr="00F95EDA">
        <w:rPr>
          <w:rFonts w:ascii="Arial" w:hAnsi="Arial" w:cs="Arial"/>
          <w:color w:val="000000" w:themeColor="text1"/>
          <w:sz w:val="16"/>
          <w:szCs w:val="16"/>
        </w:rPr>
        <w:t xml:space="preserve"> increases with age, male gender and bo</w:t>
      </w:r>
      <w:r w:rsidR="00171859" w:rsidRPr="00F95EDA">
        <w:rPr>
          <w:rFonts w:ascii="Arial" w:hAnsi="Arial" w:cs="Arial"/>
          <w:color w:val="000000" w:themeColor="text1"/>
          <w:sz w:val="16"/>
          <w:szCs w:val="16"/>
        </w:rPr>
        <w:t>dy size</w:t>
      </w:r>
      <w:r w:rsidR="007C0A9B" w:rsidRPr="00F95EDA">
        <w:rPr>
          <w:rFonts w:ascii="Arial" w:hAnsi="Arial" w:cs="Arial"/>
          <w:color w:val="000000" w:themeColor="text1"/>
          <w:sz w:val="16"/>
          <w:szCs w:val="16"/>
        </w:rPr>
        <w:t>.</w:t>
      </w:r>
      <w:r w:rsidR="00171859" w:rsidRPr="00F95EDA">
        <w:rPr>
          <w:rFonts w:ascii="Arial" w:hAnsi="Arial" w:cs="Arial"/>
          <w:color w:val="000000" w:themeColor="text1"/>
          <w:sz w:val="16"/>
          <w:szCs w:val="16"/>
          <w:vertAlign w:val="superscript"/>
        </w:rPr>
        <w:t>16</w:t>
      </w:r>
      <w:r w:rsidR="007C0A9B" w:rsidRPr="00F95EDA">
        <w:rPr>
          <w:rFonts w:ascii="Arial" w:hAnsi="Arial" w:cs="Arial"/>
          <w:color w:val="000000" w:themeColor="text1"/>
          <w:sz w:val="16"/>
          <w:szCs w:val="16"/>
        </w:rPr>
        <w:t xml:space="preserve"> </w:t>
      </w:r>
      <w:r w:rsidR="00AF4152" w:rsidRPr="00F95EDA">
        <w:rPr>
          <w:rFonts w:ascii="Arial" w:hAnsi="Arial" w:cs="Arial"/>
          <w:color w:val="000000" w:themeColor="text1"/>
          <w:sz w:val="16"/>
          <w:szCs w:val="16"/>
        </w:rPr>
        <w:t xml:space="preserve">Present results were in line with above mentioned study that showed </w:t>
      </w:r>
      <w:r w:rsidR="007C0A9B" w:rsidRPr="00F95EDA">
        <w:rPr>
          <w:rFonts w:ascii="Arial" w:hAnsi="Arial" w:cs="Arial"/>
          <w:color w:val="000000" w:themeColor="text1"/>
          <w:sz w:val="16"/>
          <w:szCs w:val="16"/>
        </w:rPr>
        <w:t xml:space="preserve">higher percentage of LVMI (79.16%) </w:t>
      </w:r>
      <w:r w:rsidR="00AF4152" w:rsidRPr="00F95EDA">
        <w:rPr>
          <w:rFonts w:ascii="Arial" w:hAnsi="Arial" w:cs="Arial"/>
          <w:color w:val="000000" w:themeColor="text1"/>
          <w:sz w:val="16"/>
          <w:szCs w:val="16"/>
        </w:rPr>
        <w:t xml:space="preserve">among </w:t>
      </w:r>
      <w:r w:rsidR="007C0A9B" w:rsidRPr="00F95EDA">
        <w:rPr>
          <w:rFonts w:ascii="Arial" w:hAnsi="Arial" w:cs="Arial"/>
          <w:color w:val="000000" w:themeColor="text1"/>
          <w:sz w:val="16"/>
          <w:szCs w:val="16"/>
        </w:rPr>
        <w:t xml:space="preserve">56-65 years age group. </w:t>
      </w:r>
      <w:r w:rsidR="009D69E6" w:rsidRPr="00F95EDA">
        <w:rPr>
          <w:rFonts w:ascii="Arial" w:hAnsi="Arial" w:cs="Arial"/>
          <w:color w:val="000000" w:themeColor="text1"/>
          <w:sz w:val="16"/>
          <w:szCs w:val="16"/>
        </w:rPr>
        <w:t>However, LVMI wa</w:t>
      </w:r>
      <w:r w:rsidR="007C0A9B" w:rsidRPr="00F95EDA">
        <w:rPr>
          <w:rFonts w:ascii="Arial" w:hAnsi="Arial" w:cs="Arial"/>
          <w:color w:val="000000" w:themeColor="text1"/>
          <w:sz w:val="16"/>
          <w:szCs w:val="16"/>
        </w:rPr>
        <w:t>s significantly higher in patients with LVH in our study</w:t>
      </w:r>
      <w:r w:rsidR="009D69E6" w:rsidRPr="00F95EDA">
        <w:rPr>
          <w:rFonts w:ascii="Arial" w:hAnsi="Arial" w:cs="Arial"/>
          <w:color w:val="000000" w:themeColor="text1"/>
          <w:sz w:val="16"/>
          <w:szCs w:val="16"/>
        </w:rPr>
        <w:t>. Similar results were documented in one study that showed patients having high LVMI with LVH</w:t>
      </w:r>
      <w:r w:rsidR="00915FDE" w:rsidRPr="00F95EDA">
        <w:rPr>
          <w:rFonts w:ascii="Arial" w:hAnsi="Arial" w:cs="Arial"/>
          <w:color w:val="000000" w:themeColor="text1"/>
          <w:sz w:val="16"/>
          <w:szCs w:val="16"/>
          <w:vertAlign w:val="superscript"/>
        </w:rPr>
        <w:t>17</w:t>
      </w:r>
      <w:r w:rsidR="00B66C0B" w:rsidRPr="00F95EDA">
        <w:rPr>
          <w:rFonts w:ascii="Arial" w:hAnsi="Arial" w:cs="Arial"/>
          <w:color w:val="000000" w:themeColor="text1"/>
          <w:sz w:val="16"/>
          <w:szCs w:val="16"/>
          <w:vertAlign w:val="superscript"/>
        </w:rPr>
        <w:t>,18</w:t>
      </w:r>
      <w:r w:rsidR="002A4926" w:rsidRPr="00F95EDA">
        <w:rPr>
          <w:rFonts w:ascii="Arial" w:hAnsi="Arial" w:cs="Arial"/>
          <w:color w:val="000000" w:themeColor="text1"/>
          <w:sz w:val="16"/>
          <w:szCs w:val="16"/>
        </w:rPr>
        <w:t>.</w:t>
      </w:r>
    </w:p>
    <w:p w:rsidR="0094333B" w:rsidRPr="00F95EDA" w:rsidRDefault="007C0A9B" w:rsidP="002A4926">
      <w:pPr>
        <w:spacing w:after="0" w:line="240" w:lineRule="auto"/>
        <w:ind w:firstLine="432"/>
        <w:jc w:val="both"/>
        <w:rPr>
          <w:rFonts w:ascii="Arial" w:hAnsi="Arial" w:cs="Arial"/>
          <w:color w:val="000000" w:themeColor="text1"/>
          <w:sz w:val="16"/>
          <w:szCs w:val="16"/>
        </w:rPr>
      </w:pPr>
      <w:r w:rsidRPr="00F95EDA">
        <w:rPr>
          <w:rFonts w:ascii="Arial" w:hAnsi="Arial" w:cs="Arial"/>
          <w:color w:val="000000" w:themeColor="text1"/>
          <w:sz w:val="16"/>
          <w:szCs w:val="16"/>
        </w:rPr>
        <w:t xml:space="preserve">Left ventricular relative wall thickness (RWT) </w:t>
      </w:r>
      <w:r w:rsidR="005D76DD" w:rsidRPr="00F95EDA">
        <w:rPr>
          <w:rFonts w:ascii="Arial" w:hAnsi="Arial" w:cs="Arial"/>
          <w:color w:val="000000" w:themeColor="text1"/>
          <w:sz w:val="16"/>
          <w:szCs w:val="16"/>
        </w:rPr>
        <w:t xml:space="preserve">was </w:t>
      </w:r>
      <w:r w:rsidRPr="00F95EDA">
        <w:rPr>
          <w:rFonts w:ascii="Arial" w:hAnsi="Arial" w:cs="Arial"/>
          <w:color w:val="000000" w:themeColor="text1"/>
          <w:sz w:val="16"/>
          <w:szCs w:val="16"/>
        </w:rPr>
        <w:t>calculated</w:t>
      </w:r>
      <w:r w:rsidR="005D76DD" w:rsidRPr="00F95EDA">
        <w:rPr>
          <w:rFonts w:ascii="Arial" w:hAnsi="Arial" w:cs="Arial"/>
          <w:color w:val="000000" w:themeColor="text1"/>
          <w:sz w:val="16"/>
          <w:szCs w:val="16"/>
        </w:rPr>
        <w:t>.</w:t>
      </w:r>
      <w:r w:rsidRPr="00F95EDA">
        <w:rPr>
          <w:rFonts w:ascii="Arial" w:hAnsi="Arial" w:cs="Arial"/>
          <w:color w:val="000000" w:themeColor="text1"/>
          <w:sz w:val="16"/>
          <w:szCs w:val="16"/>
        </w:rPr>
        <w:t xml:space="preserve"> In present study</w:t>
      </w:r>
      <w:r w:rsidR="005D76DD" w:rsidRPr="00F95EDA">
        <w:rPr>
          <w:rFonts w:ascii="Arial" w:hAnsi="Arial" w:cs="Arial"/>
          <w:color w:val="000000" w:themeColor="text1"/>
          <w:sz w:val="16"/>
          <w:szCs w:val="16"/>
        </w:rPr>
        <w:t xml:space="preserve">, majority of </w:t>
      </w:r>
      <w:r w:rsidR="00235D79" w:rsidRPr="00F95EDA">
        <w:rPr>
          <w:rFonts w:ascii="Arial" w:hAnsi="Arial" w:cs="Arial"/>
          <w:color w:val="000000" w:themeColor="text1"/>
          <w:sz w:val="16"/>
          <w:szCs w:val="16"/>
        </w:rPr>
        <w:t xml:space="preserve">CKD </w:t>
      </w:r>
      <w:r w:rsidR="005D76DD" w:rsidRPr="00F95EDA">
        <w:rPr>
          <w:rFonts w:ascii="Arial" w:hAnsi="Arial" w:cs="Arial"/>
          <w:color w:val="000000" w:themeColor="text1"/>
          <w:sz w:val="16"/>
          <w:szCs w:val="16"/>
        </w:rPr>
        <w:t>patients had concentric hypertrophy (</w:t>
      </w:r>
      <w:r w:rsidRPr="00F95EDA">
        <w:rPr>
          <w:rFonts w:ascii="Arial" w:hAnsi="Arial" w:cs="Arial"/>
          <w:color w:val="000000" w:themeColor="text1"/>
          <w:sz w:val="16"/>
          <w:szCs w:val="16"/>
        </w:rPr>
        <w:t>41.93%</w:t>
      </w:r>
      <w:r w:rsidR="005D76DD" w:rsidRPr="00F95EDA">
        <w:rPr>
          <w:rFonts w:ascii="Arial" w:hAnsi="Arial" w:cs="Arial"/>
          <w:color w:val="000000" w:themeColor="text1"/>
          <w:sz w:val="16"/>
          <w:szCs w:val="16"/>
        </w:rPr>
        <w:t>)</w:t>
      </w:r>
      <w:r w:rsidR="00235D79" w:rsidRPr="00F95EDA">
        <w:rPr>
          <w:rFonts w:ascii="Arial" w:hAnsi="Arial" w:cs="Arial"/>
          <w:color w:val="000000" w:themeColor="text1"/>
          <w:sz w:val="16"/>
          <w:szCs w:val="16"/>
        </w:rPr>
        <w:t>. Similarly, it has been documented that this is a</w:t>
      </w:r>
      <w:r w:rsidRPr="00F95EDA">
        <w:rPr>
          <w:rFonts w:ascii="Arial" w:hAnsi="Arial" w:cs="Arial"/>
          <w:color w:val="000000" w:themeColor="text1"/>
          <w:sz w:val="16"/>
          <w:szCs w:val="16"/>
        </w:rPr>
        <w:t xml:space="preserve"> frequent abnormality with regard to cardiac geometry</w:t>
      </w:r>
      <w:r w:rsidR="00235D79" w:rsidRPr="00F95EDA">
        <w:rPr>
          <w:rFonts w:ascii="Arial" w:hAnsi="Arial" w:cs="Arial"/>
          <w:color w:val="000000" w:themeColor="text1"/>
          <w:sz w:val="16"/>
          <w:szCs w:val="16"/>
          <w:vertAlign w:val="superscript"/>
        </w:rPr>
        <w:t>18</w:t>
      </w:r>
      <w:r w:rsidR="002A4926" w:rsidRPr="00F95EDA">
        <w:rPr>
          <w:rFonts w:ascii="Arial" w:hAnsi="Arial" w:cs="Arial"/>
          <w:color w:val="000000" w:themeColor="text1"/>
          <w:sz w:val="16"/>
          <w:szCs w:val="16"/>
        </w:rPr>
        <w:t>.</w:t>
      </w:r>
      <w:r w:rsidRPr="00F95EDA">
        <w:rPr>
          <w:rFonts w:ascii="Arial" w:hAnsi="Arial" w:cs="Arial"/>
          <w:color w:val="000000" w:themeColor="text1"/>
          <w:sz w:val="16"/>
          <w:szCs w:val="16"/>
        </w:rPr>
        <w:t xml:space="preserve"> </w:t>
      </w:r>
      <w:r w:rsidR="004A4321" w:rsidRPr="00F95EDA">
        <w:rPr>
          <w:rFonts w:ascii="Arial" w:hAnsi="Arial" w:cs="Arial"/>
          <w:color w:val="000000" w:themeColor="text1"/>
          <w:sz w:val="16"/>
          <w:szCs w:val="16"/>
        </w:rPr>
        <w:t>Presently</w:t>
      </w:r>
      <w:r w:rsidRPr="00F95EDA">
        <w:rPr>
          <w:rFonts w:ascii="Arial" w:hAnsi="Arial" w:cs="Arial"/>
          <w:color w:val="000000" w:themeColor="text1"/>
          <w:sz w:val="16"/>
          <w:szCs w:val="16"/>
        </w:rPr>
        <w:t xml:space="preserve">, concentric hypertrophy` </w:t>
      </w:r>
      <w:r w:rsidR="004A4321" w:rsidRPr="00F95EDA">
        <w:rPr>
          <w:rFonts w:ascii="Arial" w:hAnsi="Arial" w:cs="Arial"/>
          <w:color w:val="000000" w:themeColor="text1"/>
          <w:sz w:val="16"/>
          <w:szCs w:val="16"/>
        </w:rPr>
        <w:t>increased</w:t>
      </w:r>
      <w:r w:rsidRPr="00F95EDA">
        <w:rPr>
          <w:rFonts w:ascii="Arial" w:hAnsi="Arial" w:cs="Arial"/>
          <w:color w:val="000000" w:themeColor="text1"/>
          <w:sz w:val="16"/>
          <w:szCs w:val="16"/>
        </w:rPr>
        <w:t xml:space="preserve"> with declining renal function </w:t>
      </w:r>
      <w:r w:rsidR="004A4321" w:rsidRPr="00F95EDA">
        <w:rPr>
          <w:rFonts w:ascii="Arial" w:hAnsi="Arial" w:cs="Arial"/>
          <w:color w:val="000000" w:themeColor="text1"/>
          <w:sz w:val="16"/>
          <w:szCs w:val="16"/>
        </w:rPr>
        <w:t xml:space="preserve">and increasing CKD stage </w:t>
      </w:r>
      <w:r w:rsidRPr="00F95EDA">
        <w:rPr>
          <w:rFonts w:ascii="Arial" w:hAnsi="Arial" w:cs="Arial"/>
          <w:color w:val="000000" w:themeColor="text1"/>
          <w:sz w:val="16"/>
          <w:szCs w:val="16"/>
        </w:rPr>
        <w:t xml:space="preserve">(27.7% in CKD-3 and 61.53% in CKD-4). </w:t>
      </w:r>
      <w:r w:rsidR="004A4321" w:rsidRPr="00F95EDA">
        <w:rPr>
          <w:rFonts w:ascii="Arial" w:hAnsi="Arial" w:cs="Arial"/>
          <w:color w:val="000000" w:themeColor="text1"/>
          <w:sz w:val="16"/>
          <w:szCs w:val="16"/>
        </w:rPr>
        <w:t>This finding was similar to the results of another study that reported increasing stage of CKD results in higher concentric hypertrophy</w:t>
      </w:r>
      <w:r w:rsidR="00D15995" w:rsidRPr="00F95EDA">
        <w:rPr>
          <w:rFonts w:ascii="Arial" w:hAnsi="Arial" w:cs="Arial"/>
          <w:color w:val="000000" w:themeColor="text1"/>
          <w:sz w:val="16"/>
          <w:szCs w:val="16"/>
          <w:vertAlign w:val="superscript"/>
        </w:rPr>
        <w:t>19</w:t>
      </w:r>
      <w:r w:rsidR="00316911" w:rsidRPr="00F95EDA">
        <w:rPr>
          <w:rFonts w:ascii="Arial" w:hAnsi="Arial" w:cs="Arial"/>
          <w:color w:val="000000" w:themeColor="text1"/>
          <w:sz w:val="16"/>
          <w:szCs w:val="16"/>
          <w:vertAlign w:val="superscript"/>
        </w:rPr>
        <w:t>,20</w:t>
      </w:r>
      <w:r w:rsidR="002A4926" w:rsidRPr="00F95EDA">
        <w:rPr>
          <w:rFonts w:ascii="Arial" w:hAnsi="Arial" w:cs="Arial"/>
          <w:color w:val="000000" w:themeColor="text1"/>
          <w:sz w:val="16"/>
          <w:szCs w:val="16"/>
        </w:rPr>
        <w:t>.</w:t>
      </w:r>
    </w:p>
    <w:p w:rsidR="009D6495" w:rsidRPr="00F95EDA" w:rsidRDefault="0094333B" w:rsidP="002A4926">
      <w:pPr>
        <w:spacing w:after="0" w:line="240" w:lineRule="auto"/>
        <w:ind w:firstLine="432"/>
        <w:jc w:val="both"/>
        <w:rPr>
          <w:rFonts w:ascii="Arial" w:hAnsi="Arial" w:cs="Arial"/>
          <w:color w:val="000000" w:themeColor="text1"/>
          <w:sz w:val="16"/>
          <w:szCs w:val="16"/>
        </w:rPr>
      </w:pPr>
      <w:r w:rsidRPr="00F95EDA">
        <w:rPr>
          <w:rFonts w:ascii="Arial" w:hAnsi="Arial" w:cs="Arial"/>
          <w:color w:val="000000" w:themeColor="text1"/>
          <w:sz w:val="16"/>
          <w:szCs w:val="16"/>
        </w:rPr>
        <w:t>Our results showed that</w:t>
      </w:r>
      <w:r w:rsidR="009D6495" w:rsidRPr="00F95EDA">
        <w:rPr>
          <w:rFonts w:ascii="Arial" w:hAnsi="Arial" w:cs="Arial"/>
          <w:color w:val="000000" w:themeColor="text1"/>
          <w:sz w:val="16"/>
          <w:szCs w:val="16"/>
        </w:rPr>
        <w:t xml:space="preserve"> plasma f</w:t>
      </w:r>
      <w:r w:rsidRPr="00F95EDA">
        <w:rPr>
          <w:rFonts w:ascii="Arial" w:hAnsi="Arial" w:cs="Arial"/>
          <w:color w:val="000000" w:themeColor="text1"/>
          <w:sz w:val="16"/>
          <w:szCs w:val="16"/>
        </w:rPr>
        <w:t>ibrinogen level wa</w:t>
      </w:r>
      <w:r w:rsidR="009D6495" w:rsidRPr="00F95EDA">
        <w:rPr>
          <w:rFonts w:ascii="Arial" w:hAnsi="Arial" w:cs="Arial"/>
          <w:color w:val="000000" w:themeColor="text1"/>
          <w:sz w:val="16"/>
          <w:szCs w:val="16"/>
        </w:rPr>
        <w:t xml:space="preserve">s </w:t>
      </w:r>
      <w:r w:rsidRPr="00F95EDA">
        <w:rPr>
          <w:rFonts w:ascii="Arial" w:hAnsi="Arial" w:cs="Arial"/>
          <w:color w:val="000000" w:themeColor="text1"/>
          <w:sz w:val="16"/>
          <w:szCs w:val="16"/>
        </w:rPr>
        <w:t>in</w:t>
      </w:r>
      <w:r w:rsidR="009D6495" w:rsidRPr="00F95EDA">
        <w:rPr>
          <w:rFonts w:ascii="Arial" w:hAnsi="Arial" w:cs="Arial"/>
          <w:color w:val="000000" w:themeColor="text1"/>
          <w:sz w:val="16"/>
          <w:szCs w:val="16"/>
        </w:rPr>
        <w:t>significantly greater in CKD stage 4 compared to stage 3 (p=0.13)</w:t>
      </w:r>
      <w:r w:rsidRPr="00F95EDA">
        <w:rPr>
          <w:rFonts w:ascii="Arial" w:hAnsi="Arial" w:cs="Arial"/>
          <w:color w:val="000000" w:themeColor="text1"/>
          <w:sz w:val="16"/>
          <w:szCs w:val="16"/>
        </w:rPr>
        <w:t>. Similar results ha</w:t>
      </w:r>
      <w:r w:rsidR="00D132BD" w:rsidRPr="00F95EDA">
        <w:rPr>
          <w:rFonts w:ascii="Arial" w:hAnsi="Arial" w:cs="Arial"/>
          <w:color w:val="000000" w:themeColor="text1"/>
          <w:sz w:val="16"/>
          <w:szCs w:val="16"/>
        </w:rPr>
        <w:t>ve</w:t>
      </w:r>
      <w:r w:rsidRPr="00F95EDA">
        <w:rPr>
          <w:rFonts w:ascii="Arial" w:hAnsi="Arial" w:cs="Arial"/>
          <w:color w:val="000000" w:themeColor="text1"/>
          <w:sz w:val="16"/>
          <w:szCs w:val="16"/>
        </w:rPr>
        <w:t xml:space="preserve"> been demonstrated by previous studies thus in line with our results</w:t>
      </w:r>
      <w:r w:rsidR="00236900" w:rsidRPr="00F95EDA">
        <w:rPr>
          <w:rFonts w:ascii="Arial" w:hAnsi="Arial" w:cs="Arial"/>
          <w:color w:val="000000" w:themeColor="text1"/>
          <w:sz w:val="16"/>
          <w:szCs w:val="16"/>
          <w:vertAlign w:val="superscript"/>
        </w:rPr>
        <w:t>20-22</w:t>
      </w:r>
      <w:r w:rsidR="00EA0AF0" w:rsidRPr="00F95EDA">
        <w:rPr>
          <w:rFonts w:ascii="Arial" w:hAnsi="Arial" w:cs="Arial"/>
          <w:color w:val="000000" w:themeColor="text1"/>
          <w:sz w:val="16"/>
          <w:szCs w:val="16"/>
        </w:rPr>
        <w:t>.</w:t>
      </w:r>
      <w:r w:rsidR="009D6495" w:rsidRPr="00F95EDA">
        <w:rPr>
          <w:rFonts w:ascii="Arial" w:hAnsi="Arial" w:cs="Arial"/>
          <w:color w:val="000000" w:themeColor="text1"/>
          <w:sz w:val="16"/>
          <w:szCs w:val="16"/>
        </w:rPr>
        <w:t xml:space="preserve"> </w:t>
      </w:r>
      <w:r w:rsidR="00722383" w:rsidRPr="00F95EDA">
        <w:rPr>
          <w:rFonts w:ascii="Arial" w:hAnsi="Arial" w:cs="Arial"/>
          <w:color w:val="000000" w:themeColor="text1"/>
          <w:sz w:val="16"/>
          <w:szCs w:val="16"/>
        </w:rPr>
        <w:t>Many studies previously show</w:t>
      </w:r>
      <w:r w:rsidR="00D132BD" w:rsidRPr="00F95EDA">
        <w:rPr>
          <w:rFonts w:ascii="Arial" w:hAnsi="Arial" w:cs="Arial"/>
          <w:color w:val="000000" w:themeColor="text1"/>
          <w:sz w:val="16"/>
          <w:szCs w:val="16"/>
        </w:rPr>
        <w:t>ed</w:t>
      </w:r>
      <w:r w:rsidR="00722383" w:rsidRPr="00F95EDA">
        <w:rPr>
          <w:rFonts w:ascii="Arial" w:hAnsi="Arial" w:cs="Arial"/>
          <w:color w:val="000000" w:themeColor="text1"/>
          <w:sz w:val="16"/>
          <w:szCs w:val="16"/>
        </w:rPr>
        <w:t xml:space="preserve"> insignificant correlation between plasma fibrinogen and LVMI. Similarly our results showed in</w:t>
      </w:r>
      <w:r w:rsidR="009D6495" w:rsidRPr="00F95EDA">
        <w:rPr>
          <w:rFonts w:ascii="Arial" w:hAnsi="Arial" w:cs="Arial"/>
          <w:color w:val="000000" w:themeColor="text1"/>
          <w:sz w:val="16"/>
          <w:szCs w:val="16"/>
        </w:rPr>
        <w:t xml:space="preserve">significant </w:t>
      </w:r>
      <w:r w:rsidR="00722383" w:rsidRPr="00F95EDA">
        <w:rPr>
          <w:rFonts w:ascii="Arial" w:hAnsi="Arial" w:cs="Arial"/>
          <w:color w:val="000000" w:themeColor="text1"/>
          <w:sz w:val="16"/>
          <w:szCs w:val="16"/>
        </w:rPr>
        <w:t xml:space="preserve">relation between them as well thus in line with above mentioned study </w:t>
      </w:r>
      <w:r w:rsidR="009D6495" w:rsidRPr="00F95EDA">
        <w:rPr>
          <w:rFonts w:ascii="Arial" w:hAnsi="Arial" w:cs="Arial"/>
          <w:color w:val="000000" w:themeColor="text1"/>
          <w:sz w:val="16"/>
          <w:szCs w:val="16"/>
        </w:rPr>
        <w:t>(r= -0.09, p= 0.44)</w:t>
      </w:r>
      <w:r w:rsidR="00722383" w:rsidRPr="00F95EDA">
        <w:rPr>
          <w:rFonts w:ascii="Arial" w:hAnsi="Arial" w:cs="Arial"/>
          <w:color w:val="000000" w:themeColor="text1"/>
          <w:sz w:val="16"/>
          <w:szCs w:val="16"/>
          <w:vertAlign w:val="superscript"/>
        </w:rPr>
        <w:t>23</w:t>
      </w:r>
      <w:r w:rsidR="002A4926" w:rsidRPr="00F95EDA">
        <w:rPr>
          <w:rFonts w:ascii="Arial" w:hAnsi="Arial" w:cs="Arial"/>
          <w:color w:val="000000" w:themeColor="text1"/>
          <w:sz w:val="16"/>
          <w:szCs w:val="16"/>
        </w:rPr>
        <w:t>.</w:t>
      </w:r>
    </w:p>
    <w:p w:rsidR="00652ADE" w:rsidRPr="00F95EDA" w:rsidRDefault="00551753" w:rsidP="002A4926">
      <w:pPr>
        <w:spacing w:after="0" w:line="240" w:lineRule="auto"/>
        <w:jc w:val="both"/>
        <w:rPr>
          <w:rFonts w:ascii="Arial" w:eastAsia="Times New Roman" w:hAnsi="Arial" w:cs="Arial"/>
          <w:color w:val="000000" w:themeColor="text1"/>
          <w:sz w:val="16"/>
          <w:szCs w:val="16"/>
        </w:rPr>
      </w:pPr>
      <w:r w:rsidRPr="00F95EDA">
        <w:rPr>
          <w:rFonts w:ascii="Arial" w:eastAsia="Times New Roman" w:hAnsi="Arial" w:cs="Arial"/>
          <w:b/>
          <w:color w:val="000000" w:themeColor="text1"/>
          <w:sz w:val="16"/>
          <w:szCs w:val="16"/>
        </w:rPr>
        <w:t>L</w:t>
      </w:r>
      <w:r w:rsidR="002A4926" w:rsidRPr="00F95EDA">
        <w:rPr>
          <w:rFonts w:ascii="Arial" w:eastAsia="Times New Roman" w:hAnsi="Arial" w:cs="Arial"/>
          <w:b/>
          <w:color w:val="000000" w:themeColor="text1"/>
          <w:sz w:val="16"/>
          <w:szCs w:val="16"/>
        </w:rPr>
        <w:t xml:space="preserve">imitations: </w:t>
      </w:r>
      <w:r w:rsidR="00652ADE" w:rsidRPr="00F95EDA">
        <w:rPr>
          <w:rFonts w:ascii="Arial" w:eastAsia="Times New Roman" w:hAnsi="Arial" w:cs="Arial"/>
          <w:color w:val="000000" w:themeColor="text1"/>
          <w:sz w:val="16"/>
          <w:szCs w:val="16"/>
        </w:rPr>
        <w:t xml:space="preserve">Single centre study with financial constrains and limited resources. </w:t>
      </w:r>
    </w:p>
    <w:p w:rsidR="002A4926" w:rsidRPr="00F95EDA" w:rsidRDefault="002A4926" w:rsidP="002A4926">
      <w:pPr>
        <w:spacing w:after="0" w:line="240" w:lineRule="auto"/>
        <w:jc w:val="both"/>
        <w:rPr>
          <w:rFonts w:ascii="Arial" w:hAnsi="Arial" w:cs="Arial"/>
          <w:b/>
          <w:color w:val="000000" w:themeColor="text1"/>
          <w:sz w:val="16"/>
          <w:szCs w:val="16"/>
          <w:lang w:bidi="en-US"/>
        </w:rPr>
      </w:pPr>
    </w:p>
    <w:p w:rsidR="00C37135" w:rsidRPr="00F95EDA" w:rsidRDefault="00D278DF" w:rsidP="002A4926">
      <w:pPr>
        <w:spacing w:after="0" w:line="240" w:lineRule="auto"/>
        <w:jc w:val="both"/>
        <w:rPr>
          <w:rFonts w:ascii="Arial" w:hAnsi="Arial" w:cs="Arial"/>
          <w:color w:val="000000" w:themeColor="text1"/>
          <w:sz w:val="20"/>
          <w:szCs w:val="16"/>
        </w:rPr>
      </w:pPr>
      <w:r w:rsidRPr="00F95EDA">
        <w:rPr>
          <w:rFonts w:ascii="Arial" w:hAnsi="Arial" w:cs="Arial"/>
          <w:b/>
          <w:color w:val="000000" w:themeColor="text1"/>
          <w:sz w:val="20"/>
          <w:szCs w:val="16"/>
          <w:lang w:bidi="en-US"/>
        </w:rPr>
        <w:t>CONCLUSION</w:t>
      </w:r>
    </w:p>
    <w:p w:rsidR="002A4926" w:rsidRPr="00F95EDA" w:rsidRDefault="002A4926" w:rsidP="002A4926">
      <w:pPr>
        <w:widowControl w:val="0"/>
        <w:tabs>
          <w:tab w:val="left" w:pos="720"/>
          <w:tab w:val="left" w:pos="1440"/>
        </w:tabs>
        <w:spacing w:after="0" w:line="240" w:lineRule="auto"/>
        <w:jc w:val="both"/>
        <w:rPr>
          <w:rFonts w:ascii="Arial" w:hAnsi="Arial" w:cs="Arial"/>
          <w:color w:val="000000" w:themeColor="text1"/>
          <w:sz w:val="8"/>
          <w:szCs w:val="16"/>
        </w:rPr>
      </w:pPr>
    </w:p>
    <w:p w:rsidR="00B9799F" w:rsidRPr="00F95EDA" w:rsidRDefault="00736D7C" w:rsidP="002A4926">
      <w:pPr>
        <w:widowControl w:val="0"/>
        <w:tabs>
          <w:tab w:val="left" w:pos="720"/>
          <w:tab w:val="left" w:pos="1440"/>
        </w:tabs>
        <w:spacing w:after="0" w:line="240" w:lineRule="auto"/>
        <w:jc w:val="both"/>
        <w:rPr>
          <w:rFonts w:ascii="Arial" w:hAnsi="Arial" w:cs="Arial"/>
          <w:color w:val="000000" w:themeColor="text1"/>
          <w:sz w:val="16"/>
          <w:szCs w:val="16"/>
        </w:rPr>
      </w:pPr>
      <w:r w:rsidRPr="00F95EDA">
        <w:rPr>
          <w:rFonts w:ascii="Arial" w:hAnsi="Arial" w:cs="Arial"/>
          <w:color w:val="000000" w:themeColor="text1"/>
          <w:sz w:val="16"/>
          <w:szCs w:val="16"/>
        </w:rPr>
        <w:t>It was concluded that echocardiography is a helpful diagnostic tool as it confirms ECG abnormalities seen in hospitalized CKD patients. All CKD patients should have their echocardiography done. Plasma fibrinogen levels were raised with declining renal function. Thus combination of both echo and fibrinogen levels among CKD are handful diagnostic investigations for LVH.</w:t>
      </w:r>
    </w:p>
    <w:p w:rsidR="009E5829" w:rsidRPr="00F95EDA" w:rsidRDefault="009E5829" w:rsidP="002A4926">
      <w:pPr>
        <w:widowControl w:val="0"/>
        <w:tabs>
          <w:tab w:val="left" w:pos="720"/>
          <w:tab w:val="left" w:pos="1440"/>
        </w:tabs>
        <w:spacing w:after="0" w:line="240" w:lineRule="auto"/>
        <w:jc w:val="both"/>
        <w:rPr>
          <w:rFonts w:ascii="Arial" w:eastAsia="Calibri" w:hAnsi="Arial" w:cs="Arial"/>
          <w:color w:val="000000" w:themeColor="text1"/>
          <w:sz w:val="16"/>
          <w:szCs w:val="16"/>
        </w:rPr>
      </w:pPr>
      <w:r w:rsidRPr="00F95EDA">
        <w:rPr>
          <w:rFonts w:ascii="Arial" w:eastAsia="Calibri" w:hAnsi="Arial" w:cs="Arial"/>
          <w:b/>
          <w:bCs/>
          <w:color w:val="000000" w:themeColor="text1"/>
          <w:sz w:val="16"/>
          <w:szCs w:val="16"/>
        </w:rPr>
        <w:t>A</w:t>
      </w:r>
      <w:r w:rsidR="002A4926" w:rsidRPr="00F95EDA">
        <w:rPr>
          <w:rFonts w:ascii="Arial" w:eastAsia="Calibri" w:hAnsi="Arial" w:cs="Arial"/>
          <w:b/>
          <w:bCs/>
          <w:color w:val="000000" w:themeColor="text1"/>
          <w:sz w:val="16"/>
          <w:szCs w:val="16"/>
        </w:rPr>
        <w:t xml:space="preserve">uthor’s contribution: </w:t>
      </w:r>
      <w:r w:rsidRPr="00F95EDA">
        <w:rPr>
          <w:rFonts w:ascii="Arial" w:eastAsia="Calibri" w:hAnsi="Arial" w:cs="Arial"/>
          <w:b/>
          <w:color w:val="000000" w:themeColor="text1"/>
          <w:sz w:val="16"/>
          <w:szCs w:val="16"/>
        </w:rPr>
        <w:t>HH&amp;MS:</w:t>
      </w:r>
      <w:r w:rsidRPr="00F95EDA">
        <w:rPr>
          <w:rFonts w:ascii="Arial" w:eastAsia="Calibri" w:hAnsi="Arial" w:cs="Arial"/>
          <w:color w:val="000000" w:themeColor="text1"/>
          <w:sz w:val="16"/>
          <w:szCs w:val="16"/>
        </w:rPr>
        <w:t xml:space="preserve"> Overall supervision, </w:t>
      </w:r>
      <w:r w:rsidR="002A4926" w:rsidRPr="00F95EDA">
        <w:rPr>
          <w:rFonts w:ascii="Arial" w:eastAsia="Calibri" w:hAnsi="Arial" w:cs="Arial"/>
          <w:color w:val="000000" w:themeColor="text1"/>
          <w:sz w:val="16"/>
          <w:szCs w:val="16"/>
        </w:rPr>
        <w:t xml:space="preserve">write up and literature review, </w:t>
      </w:r>
      <w:r w:rsidRPr="00F95EDA">
        <w:rPr>
          <w:rFonts w:ascii="Arial" w:eastAsia="Calibri" w:hAnsi="Arial" w:cs="Arial"/>
          <w:b/>
          <w:color w:val="000000" w:themeColor="text1"/>
          <w:sz w:val="16"/>
          <w:szCs w:val="16"/>
        </w:rPr>
        <w:t>HNL&amp;SK:</w:t>
      </w:r>
      <w:r w:rsidRPr="00F95EDA">
        <w:rPr>
          <w:rFonts w:ascii="Arial" w:eastAsia="Calibri" w:hAnsi="Arial" w:cs="Arial"/>
          <w:color w:val="000000" w:themeColor="text1"/>
          <w:sz w:val="16"/>
          <w:szCs w:val="16"/>
        </w:rPr>
        <w:t xml:space="preserve"> Statistics application, analysis literature review, help in write up. </w:t>
      </w:r>
    </w:p>
    <w:p w:rsidR="00600FC8" w:rsidRPr="00F95EDA" w:rsidRDefault="00600FC8" w:rsidP="00600FC8">
      <w:pPr>
        <w:pStyle w:val="Default"/>
        <w:contextualSpacing/>
        <w:jc w:val="both"/>
        <w:rPr>
          <w:rFonts w:ascii="Arial" w:hAnsi="Arial" w:cs="Arial"/>
          <w:b/>
          <w:bCs/>
          <w:color w:val="000000" w:themeColor="text1"/>
          <w:sz w:val="16"/>
          <w:szCs w:val="16"/>
        </w:rPr>
      </w:pPr>
      <w:r w:rsidRPr="00F95EDA">
        <w:rPr>
          <w:rFonts w:ascii="Arial" w:hAnsi="Arial" w:cs="Arial"/>
          <w:b/>
          <w:bCs/>
          <w:color w:val="000000" w:themeColor="text1"/>
          <w:sz w:val="16"/>
          <w:szCs w:val="16"/>
        </w:rPr>
        <w:t>Conflict of interest:</w:t>
      </w:r>
      <w:r w:rsidRPr="00F95EDA">
        <w:rPr>
          <w:rFonts w:ascii="Arial" w:hAnsi="Arial" w:cs="Arial"/>
          <w:bCs/>
          <w:color w:val="000000" w:themeColor="text1"/>
          <w:sz w:val="16"/>
          <w:szCs w:val="16"/>
        </w:rPr>
        <w:t xml:space="preserve"> </w:t>
      </w:r>
      <w:r w:rsidRPr="00F95EDA">
        <w:rPr>
          <w:rFonts w:ascii="Arial" w:hAnsi="Arial" w:cs="Arial"/>
          <w:color w:val="000000" w:themeColor="text1"/>
          <w:sz w:val="16"/>
          <w:szCs w:val="16"/>
        </w:rPr>
        <w:t>None</w:t>
      </w:r>
    </w:p>
    <w:p w:rsidR="00600FC8" w:rsidRPr="00F95EDA" w:rsidRDefault="00600FC8" w:rsidP="00600FC8">
      <w:pPr>
        <w:pStyle w:val="Default"/>
        <w:contextualSpacing/>
        <w:jc w:val="both"/>
        <w:rPr>
          <w:rFonts w:ascii="Arial" w:hAnsi="Arial" w:cs="Arial"/>
          <w:b/>
          <w:color w:val="000000" w:themeColor="text1"/>
          <w:sz w:val="16"/>
          <w:szCs w:val="16"/>
          <w:lang w:val="nb-NO"/>
        </w:rPr>
      </w:pPr>
      <w:r w:rsidRPr="00F95EDA">
        <w:rPr>
          <w:rFonts w:ascii="Arial" w:hAnsi="Arial" w:cs="Arial"/>
          <w:b/>
          <w:color w:val="000000" w:themeColor="text1"/>
          <w:sz w:val="16"/>
          <w:szCs w:val="16"/>
          <w:lang w:val="nb-NO"/>
        </w:rPr>
        <w:t xml:space="preserve">Funding:  </w:t>
      </w:r>
      <w:r w:rsidRPr="00F95EDA">
        <w:rPr>
          <w:rFonts w:ascii="Arial" w:hAnsi="Arial" w:cs="Arial"/>
          <w:color w:val="000000" w:themeColor="text1"/>
          <w:sz w:val="16"/>
          <w:szCs w:val="16"/>
        </w:rPr>
        <w:t>None</w:t>
      </w:r>
    </w:p>
    <w:p w:rsidR="00600FC8" w:rsidRPr="00F95EDA" w:rsidRDefault="00CE3114" w:rsidP="002A4926">
      <w:pPr>
        <w:widowControl w:val="0"/>
        <w:tabs>
          <w:tab w:val="left" w:pos="720"/>
          <w:tab w:val="left" w:pos="1440"/>
        </w:tabs>
        <w:spacing w:after="0" w:line="240" w:lineRule="auto"/>
        <w:jc w:val="both"/>
        <w:rPr>
          <w:rFonts w:ascii="Arial" w:eastAsia="Calibri" w:hAnsi="Arial" w:cs="Arial"/>
          <w:color w:val="000000" w:themeColor="text1"/>
          <w:sz w:val="16"/>
          <w:szCs w:val="16"/>
        </w:rPr>
      </w:pPr>
      <w:r w:rsidRPr="00F95EDA">
        <w:rPr>
          <w:rFonts w:ascii="Arial" w:eastAsia="Calibri" w:hAnsi="Arial" w:cs="Arial"/>
          <w:b/>
          <w:color w:val="000000" w:themeColor="text1"/>
          <w:sz w:val="16"/>
          <w:szCs w:val="16"/>
        </w:rPr>
        <w:t xml:space="preserve">Ethical permission:  </w:t>
      </w:r>
      <w:r w:rsidRPr="00F95EDA">
        <w:rPr>
          <w:rFonts w:ascii="Arial" w:eastAsia="Calibri" w:hAnsi="Arial" w:cs="Arial"/>
          <w:color w:val="000000" w:themeColor="text1"/>
          <w:sz w:val="16"/>
          <w:szCs w:val="16"/>
        </w:rPr>
        <w:t>Approval was obtained from IRB.</w:t>
      </w:r>
    </w:p>
    <w:p w:rsidR="00EA0AF0" w:rsidRPr="00F95EDA" w:rsidRDefault="00EA0AF0" w:rsidP="002A4926">
      <w:pPr>
        <w:widowControl w:val="0"/>
        <w:tabs>
          <w:tab w:val="left" w:pos="720"/>
          <w:tab w:val="left" w:pos="1440"/>
        </w:tabs>
        <w:spacing w:after="0" w:line="240" w:lineRule="auto"/>
        <w:jc w:val="both"/>
        <w:rPr>
          <w:rFonts w:ascii="Arial" w:eastAsia="Calibri" w:hAnsi="Arial" w:cs="Arial"/>
          <w:b/>
          <w:color w:val="000000" w:themeColor="text1"/>
          <w:sz w:val="12"/>
          <w:szCs w:val="16"/>
        </w:rPr>
      </w:pPr>
    </w:p>
    <w:p w:rsidR="009E5829" w:rsidRPr="00F95EDA" w:rsidRDefault="009E5829" w:rsidP="002A4926">
      <w:pPr>
        <w:autoSpaceDE w:val="0"/>
        <w:autoSpaceDN w:val="0"/>
        <w:adjustRightInd w:val="0"/>
        <w:spacing w:after="0" w:line="240" w:lineRule="auto"/>
        <w:jc w:val="both"/>
        <w:rPr>
          <w:rFonts w:ascii="Arial" w:hAnsi="Arial" w:cs="Arial"/>
          <w:b/>
          <w:color w:val="000000" w:themeColor="text1"/>
          <w:sz w:val="20"/>
          <w:szCs w:val="16"/>
          <w:lang w:bidi="en-US"/>
        </w:rPr>
      </w:pPr>
      <w:r w:rsidRPr="00F95EDA">
        <w:rPr>
          <w:rFonts w:ascii="Arial" w:hAnsi="Arial" w:cs="Arial"/>
          <w:b/>
          <w:color w:val="000000" w:themeColor="text1"/>
          <w:sz w:val="20"/>
          <w:szCs w:val="16"/>
          <w:lang w:bidi="en-US"/>
        </w:rPr>
        <w:t>REFERENCES</w:t>
      </w:r>
    </w:p>
    <w:p w:rsidR="002A4926" w:rsidRPr="00F95EDA" w:rsidRDefault="002A4926" w:rsidP="002A4926">
      <w:pPr>
        <w:autoSpaceDE w:val="0"/>
        <w:autoSpaceDN w:val="0"/>
        <w:adjustRightInd w:val="0"/>
        <w:spacing w:after="0" w:line="240" w:lineRule="auto"/>
        <w:jc w:val="both"/>
        <w:rPr>
          <w:rFonts w:ascii="Arial" w:hAnsi="Arial" w:cs="Arial"/>
          <w:b/>
          <w:color w:val="000000" w:themeColor="text1"/>
          <w:sz w:val="10"/>
          <w:szCs w:val="16"/>
          <w:lang w:bidi="en-US"/>
        </w:rPr>
      </w:pP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Agarwal, S., Shlipak, M.G., Kramer, H., Jain, A., 2012. The association of chronic kidney disease and metabolic syndrome with incident cardiovascular events: multiethnic study of Atherosclerosis. </w:t>
      </w:r>
      <w:r w:rsidRPr="00F95EDA">
        <w:rPr>
          <w:rFonts w:ascii="Arial" w:hAnsi="Arial" w:cs="Arial"/>
          <w:i/>
          <w:color w:val="000000" w:themeColor="text1"/>
          <w:sz w:val="14"/>
          <w:szCs w:val="16"/>
        </w:rPr>
        <w:t xml:space="preserve">Cardiol. Res. Prac., </w:t>
      </w:r>
      <w:r w:rsidRPr="00F95EDA">
        <w:rPr>
          <w:rFonts w:ascii="Arial" w:hAnsi="Arial" w:cs="Arial"/>
          <w:b/>
          <w:color w:val="000000" w:themeColor="text1"/>
          <w:sz w:val="14"/>
          <w:szCs w:val="16"/>
        </w:rPr>
        <w:t>2012:</w:t>
      </w:r>
      <w:r w:rsidRPr="00F95EDA">
        <w:rPr>
          <w:rFonts w:ascii="Arial" w:hAnsi="Arial" w:cs="Arial"/>
          <w:color w:val="000000" w:themeColor="text1"/>
          <w:sz w:val="14"/>
          <w:szCs w:val="16"/>
        </w:rPr>
        <w:t xml:space="preserve"> ID806102.</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Akchurin, O.M., Kaskel, F., 2015. Update on inflammation in chronic kidney disease. </w:t>
      </w:r>
      <w:r w:rsidRPr="00F95EDA">
        <w:rPr>
          <w:rFonts w:ascii="Arial" w:hAnsi="Arial" w:cs="Arial"/>
          <w:i/>
          <w:color w:val="000000" w:themeColor="text1"/>
          <w:sz w:val="14"/>
          <w:szCs w:val="16"/>
        </w:rPr>
        <w:t>Blood Purif</w:t>
      </w:r>
      <w:r w:rsidRPr="00F95EDA">
        <w:rPr>
          <w:rFonts w:ascii="Arial" w:hAnsi="Arial" w:cs="Arial"/>
          <w:color w:val="000000" w:themeColor="text1"/>
          <w:sz w:val="14"/>
          <w:szCs w:val="16"/>
        </w:rPr>
        <w:t xml:space="preserve">., </w:t>
      </w:r>
      <w:r w:rsidRPr="00F95EDA">
        <w:rPr>
          <w:rFonts w:ascii="Arial" w:hAnsi="Arial" w:cs="Arial"/>
          <w:b/>
          <w:color w:val="000000" w:themeColor="text1"/>
          <w:sz w:val="14"/>
          <w:szCs w:val="16"/>
        </w:rPr>
        <w:t>39:</w:t>
      </w:r>
      <w:r w:rsidRPr="00F95EDA">
        <w:rPr>
          <w:rFonts w:ascii="Arial" w:hAnsi="Arial" w:cs="Arial"/>
          <w:color w:val="000000" w:themeColor="text1"/>
          <w:sz w:val="14"/>
          <w:szCs w:val="16"/>
        </w:rPr>
        <w:t xml:space="preserve"> 84-92.</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Ardhanari, S., Alpert, M.A., Aggarwal, K., 2014. Cardiovascular disease in chronic kidney disease: risk factors, pathogenesis, and prevention. </w:t>
      </w:r>
      <w:r w:rsidRPr="00F95EDA">
        <w:rPr>
          <w:rFonts w:ascii="Arial" w:hAnsi="Arial" w:cs="Arial"/>
          <w:i/>
          <w:color w:val="000000" w:themeColor="text1"/>
          <w:sz w:val="14"/>
          <w:szCs w:val="16"/>
        </w:rPr>
        <w:t>Adv. Perit. Dial.,</w:t>
      </w:r>
      <w:r w:rsidRPr="00F95EDA">
        <w:rPr>
          <w:rFonts w:ascii="Arial" w:hAnsi="Arial" w:cs="Arial"/>
          <w:color w:val="000000" w:themeColor="text1"/>
          <w:sz w:val="14"/>
          <w:szCs w:val="16"/>
        </w:rPr>
        <w:t xml:space="preserve"> </w:t>
      </w:r>
      <w:r w:rsidRPr="00F95EDA">
        <w:rPr>
          <w:rFonts w:ascii="Arial" w:hAnsi="Arial" w:cs="Arial"/>
          <w:b/>
          <w:color w:val="000000" w:themeColor="text1"/>
          <w:sz w:val="14"/>
          <w:szCs w:val="16"/>
        </w:rPr>
        <w:t>30:</w:t>
      </w:r>
      <w:r w:rsidRPr="00F95EDA">
        <w:rPr>
          <w:rFonts w:ascii="Arial" w:hAnsi="Arial" w:cs="Arial"/>
          <w:color w:val="000000" w:themeColor="text1"/>
          <w:sz w:val="14"/>
          <w:szCs w:val="16"/>
        </w:rPr>
        <w:t xml:space="preserve"> 40-53.</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Arora, P., 2016. Chronic kidney disease. Available at: http://emedicine.medscape.com/article/238798-overview [Accessed 16 March 2016].</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Arora, P., Vasa, P., Brenner, D., Iglar, K., McFarlane, Morrison, H., et al. 2013. Prevalence estimates of chronic kidney disease in Canada: results of nationally representative survey. </w:t>
      </w:r>
      <w:r w:rsidRPr="00F95EDA">
        <w:rPr>
          <w:rFonts w:ascii="Arial" w:hAnsi="Arial" w:cs="Arial"/>
          <w:i/>
          <w:color w:val="000000" w:themeColor="text1"/>
          <w:sz w:val="14"/>
          <w:szCs w:val="16"/>
        </w:rPr>
        <w:t>CMAJ.,</w:t>
      </w:r>
      <w:r w:rsidRPr="00F95EDA">
        <w:rPr>
          <w:rFonts w:ascii="Arial" w:hAnsi="Arial" w:cs="Arial"/>
          <w:color w:val="000000" w:themeColor="text1"/>
          <w:sz w:val="14"/>
          <w:szCs w:val="16"/>
        </w:rPr>
        <w:t xml:space="preserve"> </w:t>
      </w:r>
      <w:r w:rsidRPr="00F95EDA">
        <w:rPr>
          <w:rFonts w:ascii="Arial" w:hAnsi="Arial" w:cs="Arial"/>
          <w:b/>
          <w:color w:val="000000" w:themeColor="text1"/>
          <w:sz w:val="14"/>
          <w:szCs w:val="16"/>
        </w:rPr>
        <w:t>185(2):</w:t>
      </w:r>
      <w:r w:rsidRPr="00F95EDA">
        <w:rPr>
          <w:rFonts w:ascii="Arial" w:hAnsi="Arial" w:cs="Arial"/>
          <w:color w:val="000000" w:themeColor="text1"/>
          <w:sz w:val="14"/>
          <w:szCs w:val="16"/>
        </w:rPr>
        <w:t xml:space="preserve"> E417-E423.</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Asp, A.M., Wallquist, C., Rickenlund, A., Hylander, B, Jacobson, S.H., Caidahi, K., et al., 2015. Cardiac remodeling and functional alterations in mild to moderate renal dysfunction: comparison with healthy subjects. </w:t>
      </w:r>
      <w:r w:rsidRPr="00F95EDA">
        <w:rPr>
          <w:rFonts w:ascii="Arial" w:hAnsi="Arial" w:cs="Arial"/>
          <w:i/>
          <w:color w:val="000000" w:themeColor="text1"/>
          <w:sz w:val="14"/>
          <w:szCs w:val="16"/>
        </w:rPr>
        <w:t>Clin. Physiol. Funct. Imaging.,</w:t>
      </w:r>
      <w:r w:rsidRPr="00F95EDA">
        <w:rPr>
          <w:rFonts w:ascii="Arial" w:hAnsi="Arial" w:cs="Arial"/>
          <w:color w:val="000000" w:themeColor="text1"/>
          <w:sz w:val="14"/>
          <w:szCs w:val="16"/>
        </w:rPr>
        <w:t xml:space="preserve"> </w:t>
      </w:r>
      <w:r w:rsidRPr="00F95EDA">
        <w:rPr>
          <w:rFonts w:ascii="Arial" w:hAnsi="Arial" w:cs="Arial"/>
          <w:b/>
          <w:color w:val="000000" w:themeColor="text1"/>
          <w:sz w:val="14"/>
          <w:szCs w:val="16"/>
        </w:rPr>
        <w:t>35:</w:t>
      </w:r>
      <w:r w:rsidRPr="00F95EDA">
        <w:rPr>
          <w:rFonts w:ascii="Arial" w:hAnsi="Arial" w:cs="Arial"/>
          <w:color w:val="000000" w:themeColor="text1"/>
          <w:sz w:val="14"/>
          <w:szCs w:val="16"/>
        </w:rPr>
        <w:t xml:space="preserve"> 223-230.</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Bacharova, L., Schocken, D., Estes, E.H., Strauss, D., 2014. The role of ECG in the Diagnosis of Left ventricular hypertrophy. </w:t>
      </w:r>
      <w:r w:rsidRPr="00F95EDA">
        <w:rPr>
          <w:rFonts w:ascii="Arial" w:hAnsi="Arial" w:cs="Arial"/>
          <w:i/>
          <w:color w:val="000000" w:themeColor="text1"/>
          <w:sz w:val="14"/>
          <w:szCs w:val="16"/>
        </w:rPr>
        <w:t>Curr</w:t>
      </w:r>
      <w:r w:rsidRPr="00F95EDA">
        <w:rPr>
          <w:rFonts w:ascii="Arial" w:hAnsi="Arial" w:cs="Arial"/>
          <w:color w:val="000000" w:themeColor="text1"/>
          <w:sz w:val="14"/>
          <w:szCs w:val="16"/>
        </w:rPr>
        <w:t xml:space="preserve">. </w:t>
      </w:r>
      <w:r w:rsidRPr="00F95EDA">
        <w:rPr>
          <w:rFonts w:ascii="Arial" w:hAnsi="Arial" w:cs="Arial"/>
          <w:i/>
          <w:color w:val="000000" w:themeColor="text1"/>
          <w:sz w:val="14"/>
          <w:szCs w:val="16"/>
        </w:rPr>
        <w:t>Cardiol. Rev.,</w:t>
      </w:r>
      <w:r w:rsidRPr="00F95EDA">
        <w:rPr>
          <w:rFonts w:ascii="Arial" w:hAnsi="Arial" w:cs="Arial"/>
          <w:color w:val="000000" w:themeColor="text1"/>
          <w:sz w:val="14"/>
          <w:szCs w:val="16"/>
        </w:rPr>
        <w:t xml:space="preserve"> </w:t>
      </w:r>
      <w:r w:rsidRPr="00F95EDA">
        <w:rPr>
          <w:rFonts w:ascii="Arial" w:hAnsi="Arial" w:cs="Arial"/>
          <w:b/>
          <w:color w:val="000000" w:themeColor="text1"/>
          <w:sz w:val="14"/>
          <w:szCs w:val="16"/>
        </w:rPr>
        <w:t>10(3):</w:t>
      </w:r>
      <w:r w:rsidRPr="00F95EDA">
        <w:rPr>
          <w:rFonts w:ascii="Arial" w:hAnsi="Arial" w:cs="Arial"/>
          <w:color w:val="000000" w:themeColor="text1"/>
          <w:sz w:val="14"/>
          <w:szCs w:val="16"/>
        </w:rPr>
        <w:t xml:space="preserve"> 257-261.</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Bauml, M.A., Underwood, D.A., 2010. Left ventricular hypertrophy: An overlooked cardiovascular risk factor. </w:t>
      </w:r>
      <w:r w:rsidRPr="00F95EDA">
        <w:rPr>
          <w:rFonts w:ascii="Arial" w:hAnsi="Arial" w:cs="Arial"/>
          <w:i/>
          <w:color w:val="000000" w:themeColor="text1"/>
          <w:sz w:val="14"/>
          <w:szCs w:val="16"/>
        </w:rPr>
        <w:t>Cleveland Clinic J. Med.,</w:t>
      </w:r>
      <w:r w:rsidRPr="00F95EDA">
        <w:rPr>
          <w:rFonts w:ascii="Arial" w:hAnsi="Arial" w:cs="Arial"/>
          <w:color w:val="000000" w:themeColor="text1"/>
          <w:sz w:val="14"/>
          <w:szCs w:val="16"/>
        </w:rPr>
        <w:t xml:space="preserve"> </w:t>
      </w:r>
      <w:r w:rsidRPr="00F95EDA">
        <w:rPr>
          <w:rFonts w:ascii="Arial" w:hAnsi="Arial" w:cs="Arial"/>
          <w:b/>
          <w:color w:val="000000" w:themeColor="text1"/>
          <w:sz w:val="14"/>
          <w:szCs w:val="16"/>
        </w:rPr>
        <w:t>77(6):</w:t>
      </w:r>
      <w:r w:rsidRPr="00F95EDA">
        <w:rPr>
          <w:rFonts w:ascii="Arial" w:hAnsi="Arial" w:cs="Arial"/>
          <w:color w:val="000000" w:themeColor="text1"/>
          <w:sz w:val="14"/>
          <w:szCs w:val="16"/>
        </w:rPr>
        <w:t xml:space="preserve"> 381-387.</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Bock, J.S., Gottlieb, S.S., 2010. Gottlieb. Contemporary Reviews in Cardiovascular Medicine. Cardiorenal syndrome, new perspectives. </w:t>
      </w:r>
      <w:r w:rsidRPr="00F95EDA">
        <w:rPr>
          <w:rFonts w:ascii="Arial" w:hAnsi="Arial" w:cs="Arial"/>
          <w:i/>
          <w:color w:val="000000" w:themeColor="text1"/>
          <w:sz w:val="14"/>
          <w:szCs w:val="16"/>
        </w:rPr>
        <w:t>Circulation,</w:t>
      </w:r>
      <w:r w:rsidRPr="00F95EDA">
        <w:rPr>
          <w:rFonts w:ascii="Arial" w:hAnsi="Arial" w:cs="Arial"/>
          <w:color w:val="000000" w:themeColor="text1"/>
          <w:sz w:val="14"/>
          <w:szCs w:val="16"/>
        </w:rPr>
        <w:t xml:space="preserve"> </w:t>
      </w:r>
      <w:r w:rsidRPr="00F95EDA">
        <w:rPr>
          <w:rFonts w:ascii="Arial" w:hAnsi="Arial" w:cs="Arial"/>
          <w:b/>
          <w:color w:val="000000" w:themeColor="text1"/>
          <w:sz w:val="14"/>
          <w:szCs w:val="16"/>
        </w:rPr>
        <w:t>121:</w:t>
      </w:r>
      <w:r w:rsidRPr="00F95EDA">
        <w:rPr>
          <w:rFonts w:ascii="Arial" w:hAnsi="Arial" w:cs="Arial"/>
          <w:color w:val="000000" w:themeColor="text1"/>
          <w:sz w:val="14"/>
          <w:szCs w:val="16"/>
        </w:rPr>
        <w:t>2592-2600.</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Carrero, J.J., Stenvinkel, P., 2010. Cardiovascular disease risk factors in chronic kidney disease: Traditional, Non-traditional, and Uremia-related Threats. </w:t>
      </w:r>
      <w:r w:rsidRPr="00F95EDA">
        <w:rPr>
          <w:rFonts w:ascii="Arial" w:hAnsi="Arial" w:cs="Arial"/>
          <w:i/>
          <w:color w:val="000000" w:themeColor="text1"/>
          <w:sz w:val="14"/>
          <w:szCs w:val="16"/>
        </w:rPr>
        <w:t>Cardiorenal Syndrome,</w:t>
      </w:r>
      <w:r w:rsidRPr="00F95EDA">
        <w:rPr>
          <w:rFonts w:ascii="Arial" w:hAnsi="Arial" w:cs="Arial"/>
          <w:color w:val="000000" w:themeColor="text1"/>
          <w:sz w:val="14"/>
          <w:szCs w:val="16"/>
        </w:rPr>
        <w:t xml:space="preserve"> 91-104.</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shd w:val="clear" w:color="auto" w:fill="FFFFFF"/>
        </w:rPr>
        <w:t>Shafi S, Saleem M, Anjum R, Abdullah W, Shafi T. ECG abnormalities in patients with chronic kidney disease. Journal of Ayub Medical College Abbottabad. 2017;29(1):61-4.</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shd w:val="clear" w:color="auto" w:fill="FFFFFF"/>
        </w:rPr>
        <w:t>Madhavilatha DS, Upadhyay DK, Malviya DK. Study of ECG and Echocardiographic Changes in Patient with Chronic Kidney Disease (CKD). European Journal of Molecular &amp; Clinical Medicine. 2022;9(4):552-9.</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Cesare, C., Guido, G., 2012. Electrocardiographic diagnosis of left-ventricular hypertrophy: good news for the clinician? </w:t>
      </w:r>
      <w:r w:rsidRPr="00F95EDA">
        <w:rPr>
          <w:rFonts w:ascii="Arial" w:hAnsi="Arial" w:cs="Arial"/>
          <w:i/>
          <w:color w:val="000000" w:themeColor="text1"/>
          <w:sz w:val="14"/>
          <w:szCs w:val="16"/>
        </w:rPr>
        <w:t>J. Hypertens</w:t>
      </w:r>
      <w:r w:rsidRPr="00F95EDA">
        <w:rPr>
          <w:rFonts w:ascii="Arial" w:hAnsi="Arial" w:cs="Arial"/>
          <w:color w:val="000000" w:themeColor="text1"/>
          <w:sz w:val="14"/>
          <w:szCs w:val="16"/>
        </w:rPr>
        <w:t xml:space="preserve">., </w:t>
      </w:r>
      <w:r w:rsidRPr="00F95EDA">
        <w:rPr>
          <w:rFonts w:ascii="Arial" w:hAnsi="Arial" w:cs="Arial"/>
          <w:b/>
          <w:color w:val="000000" w:themeColor="text1"/>
          <w:sz w:val="14"/>
          <w:szCs w:val="16"/>
        </w:rPr>
        <w:t>30(5):</w:t>
      </w:r>
      <w:r w:rsidRPr="00F95EDA">
        <w:rPr>
          <w:rFonts w:ascii="Arial" w:hAnsi="Arial" w:cs="Arial"/>
          <w:color w:val="000000" w:themeColor="text1"/>
          <w:sz w:val="14"/>
          <w:szCs w:val="16"/>
        </w:rPr>
        <w:t xml:space="preserve"> 884-886.</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Chaudhary, S., 2017. Chronic kidney disease (CKD)/McMaster Pathophysiology Review.www.pathophys.org/ckd/[Accessed 24</w:t>
      </w:r>
      <w:r w:rsidRPr="00F95EDA">
        <w:rPr>
          <w:rFonts w:ascii="Arial" w:hAnsi="Arial" w:cs="Arial"/>
          <w:color w:val="000000" w:themeColor="text1"/>
          <w:sz w:val="14"/>
          <w:szCs w:val="16"/>
          <w:vertAlign w:val="superscript"/>
        </w:rPr>
        <w:t>th</w:t>
      </w:r>
      <w:r w:rsidRPr="00F95EDA">
        <w:rPr>
          <w:rFonts w:ascii="Arial" w:hAnsi="Arial" w:cs="Arial"/>
          <w:color w:val="000000" w:themeColor="text1"/>
          <w:sz w:val="14"/>
          <w:szCs w:val="16"/>
        </w:rPr>
        <w:t xml:space="preserve"> Jan, 2017]</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Chen, S.J., Liu, P.C., Yang, N.I., Cheng, C.W., Wu, I.W., Wu, M.S., et al., 2012. Impact of definitions of left ventricular hypertrophy of left ventricular remodeling findings in patients with predialysis chronic kidney disease: An echocardiographic study. </w:t>
      </w:r>
      <w:r w:rsidRPr="00F95EDA">
        <w:rPr>
          <w:rFonts w:ascii="Arial" w:hAnsi="Arial" w:cs="Arial"/>
          <w:i/>
          <w:color w:val="000000" w:themeColor="text1"/>
          <w:sz w:val="14"/>
          <w:szCs w:val="16"/>
        </w:rPr>
        <w:t>Acta Cardiol. Sin.,</w:t>
      </w:r>
      <w:r w:rsidRPr="00F95EDA">
        <w:rPr>
          <w:rFonts w:ascii="Arial" w:hAnsi="Arial" w:cs="Arial"/>
          <w:b/>
          <w:color w:val="000000" w:themeColor="text1"/>
          <w:sz w:val="14"/>
          <w:szCs w:val="16"/>
        </w:rPr>
        <w:t xml:space="preserve"> 28: </w:t>
      </w:r>
      <w:r w:rsidRPr="00F95EDA">
        <w:rPr>
          <w:rFonts w:ascii="Arial" w:hAnsi="Arial" w:cs="Arial"/>
          <w:color w:val="000000" w:themeColor="text1"/>
          <w:sz w:val="14"/>
          <w:szCs w:val="16"/>
        </w:rPr>
        <w:t>42-52.</w:t>
      </w:r>
    </w:p>
    <w:p w:rsidR="003453A0" w:rsidRPr="00F95EDA" w:rsidRDefault="003453A0"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shd w:val="clear" w:color="auto" w:fill="FFFFFF"/>
        </w:rPr>
        <w:t>Kostadinović J, Popadić V, Klašnja S, Klisić A, Kotur-Stevuljević J, Andrić Z, Zdravković M. Cardio-toxicity: Importance of biomarkers. Archives of Pharmacy. 2023 Feb 27;73(Notebook 1):1-6.</w:t>
      </w:r>
    </w:p>
    <w:p w:rsidR="006926BD" w:rsidRPr="00F95EDA" w:rsidRDefault="006926BD"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shd w:val="clear" w:color="auto" w:fill="FFFFFF"/>
        </w:rPr>
        <w:t>Muiesan ML, Agabiti-Rosei C, De Ciuceis C, Salvetti M, Paini A.</w:t>
      </w:r>
      <w:r w:rsidR="00F60B87" w:rsidRPr="00F95EDA">
        <w:rPr>
          <w:rFonts w:ascii="Arial" w:hAnsi="Arial" w:cs="Arial"/>
          <w:color w:val="000000" w:themeColor="text1"/>
          <w:sz w:val="14"/>
          <w:szCs w:val="16"/>
          <w:shd w:val="clear" w:color="auto" w:fill="FFFFFF"/>
        </w:rPr>
        <w:t>,2023</w:t>
      </w:r>
      <w:r w:rsidRPr="00F95EDA">
        <w:rPr>
          <w:rFonts w:ascii="Arial" w:hAnsi="Arial" w:cs="Arial"/>
          <w:color w:val="000000" w:themeColor="text1"/>
          <w:sz w:val="14"/>
          <w:szCs w:val="16"/>
          <w:shd w:val="clear" w:color="auto" w:fill="FFFFFF"/>
        </w:rPr>
        <w:t xml:space="preserve"> Laboratory Indices/Bioimaging. InBlood Pressure Disorders i</w:t>
      </w:r>
      <w:r w:rsidR="00F60B87" w:rsidRPr="00F95EDA">
        <w:rPr>
          <w:rFonts w:ascii="Arial" w:hAnsi="Arial" w:cs="Arial"/>
          <w:color w:val="000000" w:themeColor="text1"/>
          <w:sz w:val="14"/>
          <w:szCs w:val="16"/>
          <w:shd w:val="clear" w:color="auto" w:fill="FFFFFF"/>
        </w:rPr>
        <w:t xml:space="preserve">n Diabetes Mellitus. </w:t>
      </w:r>
      <w:r w:rsidR="00E118D1" w:rsidRPr="00F95EDA">
        <w:rPr>
          <w:rFonts w:ascii="Arial" w:hAnsi="Arial" w:cs="Arial"/>
          <w:b/>
          <w:color w:val="000000" w:themeColor="text1"/>
          <w:sz w:val="14"/>
          <w:szCs w:val="16"/>
          <w:shd w:val="clear" w:color="auto" w:fill="FFFFFF"/>
        </w:rPr>
        <w:t>30</w:t>
      </w:r>
      <w:r w:rsidR="00E118D1" w:rsidRPr="00F95EDA">
        <w:rPr>
          <w:rFonts w:ascii="Arial" w:hAnsi="Arial" w:cs="Arial"/>
          <w:color w:val="000000" w:themeColor="text1"/>
          <w:sz w:val="14"/>
          <w:szCs w:val="16"/>
          <w:shd w:val="clear" w:color="auto" w:fill="FFFFFF"/>
        </w:rPr>
        <w:t>(1):</w:t>
      </w:r>
      <w:r w:rsidRPr="00F95EDA">
        <w:rPr>
          <w:rFonts w:ascii="Arial" w:hAnsi="Arial" w:cs="Arial"/>
          <w:color w:val="000000" w:themeColor="text1"/>
          <w:sz w:val="14"/>
          <w:szCs w:val="16"/>
          <w:shd w:val="clear" w:color="auto" w:fill="FFFFFF"/>
        </w:rPr>
        <w:t>89-101. Cham: Springer International Publishing.</w:t>
      </w:r>
    </w:p>
    <w:p w:rsidR="009E5829" w:rsidRPr="00F95EDA" w:rsidRDefault="007F60C2"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shd w:val="clear" w:color="auto" w:fill="FFFFFF"/>
        </w:rPr>
        <w:t>Moraes FC, Santos RR, Moraes JC, Mota AC, Pessoa FR, Sarges DC, Moraes DA, Souza DD. Covid-19 and Heart Involvement: A Systematic Review of Literature. Int J Cardiovasc Sci. 2023 Feb 14;36.</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Davalos, D., Akassoglou, K., 2012. Fibrinogen as a key regulator of inflammation in disease. </w:t>
      </w:r>
      <w:r w:rsidRPr="00F95EDA">
        <w:rPr>
          <w:rFonts w:ascii="Arial" w:hAnsi="Arial" w:cs="Arial"/>
          <w:i/>
          <w:color w:val="000000" w:themeColor="text1"/>
          <w:sz w:val="14"/>
          <w:szCs w:val="16"/>
        </w:rPr>
        <w:t>Semin Immunopathol</w:t>
      </w:r>
      <w:r w:rsidRPr="00F95EDA">
        <w:rPr>
          <w:rFonts w:ascii="Arial" w:hAnsi="Arial" w:cs="Arial"/>
          <w:color w:val="000000" w:themeColor="text1"/>
          <w:sz w:val="14"/>
          <w:szCs w:val="16"/>
        </w:rPr>
        <w:t xml:space="preserve">., </w:t>
      </w:r>
      <w:r w:rsidRPr="00F95EDA">
        <w:rPr>
          <w:rFonts w:ascii="Arial" w:hAnsi="Arial" w:cs="Arial"/>
          <w:b/>
          <w:color w:val="000000" w:themeColor="text1"/>
          <w:sz w:val="14"/>
          <w:szCs w:val="16"/>
        </w:rPr>
        <w:t>34:</w:t>
      </w:r>
      <w:r w:rsidRPr="00F95EDA">
        <w:rPr>
          <w:rFonts w:ascii="Arial" w:hAnsi="Arial" w:cs="Arial"/>
          <w:color w:val="000000" w:themeColor="text1"/>
          <w:sz w:val="14"/>
          <w:szCs w:val="16"/>
        </w:rPr>
        <w:t xml:space="preserve"> 43-62.</w:t>
      </w:r>
    </w:p>
    <w:p w:rsidR="00A24957" w:rsidRPr="00F95EDA" w:rsidRDefault="00A24957"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shd w:val="clear" w:color="auto" w:fill="FFFFFF"/>
        </w:rPr>
        <w:t>Wang ZW, Xiao SJ, Liu NF. Association of lipoprotein (a) with left ventricular hypertrophy in patients with new-onset acute myocardial infarction: A large cross-sectional study. Clinica Chimica Acta. 2023 Jan 9:117226.</w:t>
      </w:r>
    </w:p>
    <w:p w:rsidR="009E5829" w:rsidRPr="00F95EDA" w:rsidRDefault="009E5829"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rPr>
        <w:t xml:space="preserve">Di-Lullo, L., Gorini, A., Russo, D., Santoboni, A., Ronco, C., 2015. Left ventricular hypertrophy in chronic kidney disease patients: from Pathophysiology to treatment. </w:t>
      </w:r>
      <w:r w:rsidRPr="00F95EDA">
        <w:rPr>
          <w:rFonts w:ascii="Arial" w:hAnsi="Arial" w:cs="Arial"/>
          <w:i/>
          <w:color w:val="000000" w:themeColor="text1"/>
          <w:sz w:val="14"/>
          <w:szCs w:val="16"/>
        </w:rPr>
        <w:t>Cardiorenal Med</w:t>
      </w:r>
      <w:r w:rsidRPr="00F95EDA">
        <w:rPr>
          <w:rFonts w:ascii="Arial" w:hAnsi="Arial" w:cs="Arial"/>
          <w:color w:val="000000" w:themeColor="text1"/>
          <w:sz w:val="14"/>
          <w:szCs w:val="16"/>
        </w:rPr>
        <w:t xml:space="preserve">., </w:t>
      </w:r>
      <w:r w:rsidRPr="00F95EDA">
        <w:rPr>
          <w:rFonts w:ascii="Arial" w:hAnsi="Arial" w:cs="Arial"/>
          <w:b/>
          <w:color w:val="000000" w:themeColor="text1"/>
          <w:sz w:val="14"/>
          <w:szCs w:val="16"/>
        </w:rPr>
        <w:t>5:</w:t>
      </w:r>
      <w:r w:rsidRPr="00F95EDA">
        <w:rPr>
          <w:rFonts w:ascii="Arial" w:hAnsi="Arial" w:cs="Arial"/>
          <w:color w:val="000000" w:themeColor="text1"/>
          <w:sz w:val="14"/>
          <w:szCs w:val="16"/>
        </w:rPr>
        <w:t xml:space="preserve"> 254-266.</w:t>
      </w:r>
    </w:p>
    <w:p w:rsidR="009E5829" w:rsidRPr="00F95EDA" w:rsidRDefault="0093246F" w:rsidP="002A4926">
      <w:pPr>
        <w:pStyle w:val="ListParagraph"/>
        <w:numPr>
          <w:ilvl w:val="0"/>
          <w:numId w:val="39"/>
        </w:numPr>
        <w:spacing w:before="0"/>
        <w:ind w:left="360"/>
        <w:jc w:val="both"/>
        <w:rPr>
          <w:rFonts w:ascii="Arial" w:hAnsi="Arial" w:cs="Arial"/>
          <w:color w:val="000000" w:themeColor="text1"/>
          <w:sz w:val="14"/>
          <w:szCs w:val="16"/>
        </w:rPr>
      </w:pPr>
      <w:r w:rsidRPr="00F95EDA">
        <w:rPr>
          <w:rFonts w:ascii="Arial" w:hAnsi="Arial" w:cs="Arial"/>
          <w:color w:val="000000" w:themeColor="text1"/>
          <w:sz w:val="14"/>
          <w:szCs w:val="16"/>
          <w:shd w:val="clear" w:color="auto" w:fill="FFFFFF"/>
        </w:rPr>
        <w:t>Rafaqat S, Rafaqat S, Ijaz H. The role of inflammatory biomarkers in the arterial hypertension. Arterial Hypertension. 2023 Feb 27</w:t>
      </w:r>
      <w:r w:rsidR="009E5829" w:rsidRPr="00F95EDA">
        <w:rPr>
          <w:rFonts w:ascii="Arial" w:hAnsi="Arial" w:cs="Arial"/>
          <w:color w:val="000000" w:themeColor="text1"/>
          <w:sz w:val="14"/>
          <w:szCs w:val="16"/>
        </w:rPr>
        <w:t>.</w:t>
      </w:r>
    </w:p>
    <w:p w:rsidR="00E94244" w:rsidRPr="00F95EDA" w:rsidRDefault="009E5829" w:rsidP="002A4926">
      <w:pPr>
        <w:pStyle w:val="ListParagraph"/>
        <w:numPr>
          <w:ilvl w:val="0"/>
          <w:numId w:val="39"/>
        </w:numPr>
        <w:spacing w:before="0"/>
        <w:ind w:left="360"/>
        <w:jc w:val="both"/>
        <w:rPr>
          <w:rFonts w:ascii="Arial" w:hAnsi="Arial" w:cs="Arial"/>
          <w:color w:val="000000" w:themeColor="text1"/>
          <w:sz w:val="16"/>
          <w:szCs w:val="16"/>
        </w:rPr>
        <w:sectPr w:rsidR="00E94244" w:rsidRPr="00F95EDA" w:rsidSect="00E94244">
          <w:type w:val="continuous"/>
          <w:pgSz w:w="12240" w:h="15840" w:code="1"/>
          <w:pgMar w:top="1440" w:right="1008" w:bottom="1440" w:left="1296" w:header="720" w:footer="720" w:gutter="0"/>
          <w:cols w:num="2" w:space="432"/>
          <w:titlePg/>
          <w:docGrid w:linePitch="360"/>
        </w:sectPr>
      </w:pPr>
      <w:r w:rsidRPr="00F95EDA">
        <w:rPr>
          <w:rFonts w:ascii="Arial" w:hAnsi="Arial" w:cs="Arial"/>
          <w:color w:val="000000" w:themeColor="text1"/>
          <w:sz w:val="14"/>
          <w:szCs w:val="16"/>
        </w:rPr>
        <w:t xml:space="preserve">Gerdts, E., Okin, P.M., Boman, K., Wachtell, K., Nieminen, M.S., Dahlof, B., et al. 2012. Association of heart failure hospitalizations with combined electrocardiography and echocardiography criteria for left ventricular hypertrophy. </w:t>
      </w:r>
      <w:r w:rsidRPr="00F95EDA">
        <w:rPr>
          <w:rFonts w:ascii="Arial" w:hAnsi="Arial" w:cs="Arial"/>
          <w:i/>
          <w:color w:val="000000" w:themeColor="text1"/>
          <w:sz w:val="14"/>
          <w:szCs w:val="16"/>
        </w:rPr>
        <w:t>Am. J. Hypertens.,</w:t>
      </w:r>
      <w:r w:rsidRPr="00F95EDA">
        <w:rPr>
          <w:rFonts w:ascii="Arial" w:hAnsi="Arial" w:cs="Arial"/>
          <w:color w:val="000000" w:themeColor="text1"/>
          <w:sz w:val="14"/>
          <w:szCs w:val="16"/>
        </w:rPr>
        <w:t xml:space="preserve"> </w:t>
      </w:r>
      <w:r w:rsidRPr="00F95EDA">
        <w:rPr>
          <w:rFonts w:ascii="Arial" w:hAnsi="Arial" w:cs="Arial"/>
          <w:b/>
          <w:color w:val="000000" w:themeColor="text1"/>
          <w:sz w:val="14"/>
          <w:szCs w:val="16"/>
        </w:rPr>
        <w:t>25(6):</w:t>
      </w:r>
      <w:r w:rsidRPr="00F95EDA">
        <w:rPr>
          <w:rFonts w:ascii="Arial" w:hAnsi="Arial" w:cs="Arial"/>
          <w:color w:val="000000" w:themeColor="text1"/>
          <w:sz w:val="14"/>
          <w:szCs w:val="16"/>
        </w:rPr>
        <w:t xml:space="preserve"> 678-683</w:t>
      </w:r>
      <w:r w:rsidRPr="00F95EDA">
        <w:rPr>
          <w:rFonts w:ascii="Arial" w:hAnsi="Arial" w:cs="Arial"/>
          <w:color w:val="000000" w:themeColor="text1"/>
          <w:sz w:val="16"/>
          <w:szCs w:val="16"/>
        </w:rPr>
        <w:t>.</w:t>
      </w:r>
    </w:p>
    <w:p w:rsidR="00600FC8" w:rsidRPr="00F95EDA" w:rsidRDefault="002A4926" w:rsidP="002A4926">
      <w:pPr>
        <w:pStyle w:val="ListParagraph"/>
        <w:spacing w:before="0"/>
        <w:ind w:left="360" w:firstLine="0"/>
        <w:jc w:val="both"/>
        <w:rPr>
          <w:rFonts w:ascii="Arial" w:hAnsi="Arial" w:cs="Arial"/>
          <w:b/>
          <w:color w:val="000000" w:themeColor="text1"/>
          <w:sz w:val="16"/>
          <w:szCs w:val="16"/>
          <w:lang w:val="nb-NO"/>
        </w:rPr>
      </w:pPr>
      <w:r w:rsidRPr="00F95EDA">
        <w:rPr>
          <w:rFonts w:ascii="Arial" w:hAnsi="Arial" w:cs="Arial"/>
          <w:color w:val="000000" w:themeColor="text1"/>
          <w:sz w:val="16"/>
          <w:szCs w:val="16"/>
        </w:rPr>
        <w:lastRenderedPageBreak/>
        <w:br/>
      </w:r>
    </w:p>
    <w:sectPr w:rsidR="00600FC8" w:rsidRPr="00F95EDA" w:rsidSect="00E94244">
      <w:type w:val="continuous"/>
      <w:pgSz w:w="12240" w:h="15840" w:code="1"/>
      <w:pgMar w:top="1440" w:right="1008"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E1" w:rsidRDefault="004318E1" w:rsidP="002A6AC5">
      <w:pPr>
        <w:spacing w:after="0" w:line="240" w:lineRule="auto"/>
      </w:pPr>
      <w:r>
        <w:separator/>
      </w:r>
    </w:p>
  </w:endnote>
  <w:endnote w:type="continuationSeparator" w:id="0">
    <w:p w:rsidR="004318E1" w:rsidRDefault="004318E1" w:rsidP="002A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F0" w:rsidRDefault="00EA0AF0">
    <w:pPr>
      <w:pStyle w:val="Footer"/>
      <w:pBdr>
        <w:bottom w:val="single" w:sz="12" w:space="1" w:color="auto"/>
      </w:pBdr>
    </w:pPr>
  </w:p>
  <w:p w:rsidR="00EA0AF0" w:rsidRDefault="004318E1">
    <w:pPr>
      <w:pStyle w:val="Footer"/>
    </w:pPr>
    <w:sdt>
      <w:sdtPr>
        <w:id w:val="27915921"/>
        <w:docPartObj>
          <w:docPartGallery w:val="Page Numbers (Bottom of Page)"/>
          <w:docPartUnique/>
        </w:docPartObj>
      </w:sdtPr>
      <w:sdtEndPr>
        <w:rPr>
          <w:rFonts w:ascii="Arial" w:hAnsi="Arial" w:cs="Arial"/>
          <w:sz w:val="16"/>
          <w:szCs w:val="16"/>
        </w:rPr>
      </w:sdtEndPr>
      <w:sdtContent>
        <w:r w:rsidR="00EA0AF0" w:rsidRPr="00EA0AF0">
          <w:rPr>
            <w:rFonts w:ascii="Arial" w:hAnsi="Arial" w:cs="Arial"/>
            <w:sz w:val="16"/>
            <w:szCs w:val="16"/>
          </w:rPr>
          <w:fldChar w:fldCharType="begin"/>
        </w:r>
        <w:r w:rsidR="00EA0AF0" w:rsidRPr="00EA0AF0">
          <w:rPr>
            <w:rFonts w:ascii="Arial" w:hAnsi="Arial" w:cs="Arial"/>
            <w:sz w:val="16"/>
            <w:szCs w:val="16"/>
          </w:rPr>
          <w:instrText xml:space="preserve"> PAGE   \* MERGEFORMAT </w:instrText>
        </w:r>
        <w:r w:rsidR="00EA0AF0" w:rsidRPr="00EA0AF0">
          <w:rPr>
            <w:rFonts w:ascii="Arial" w:hAnsi="Arial" w:cs="Arial"/>
            <w:sz w:val="16"/>
            <w:szCs w:val="16"/>
          </w:rPr>
          <w:fldChar w:fldCharType="separate"/>
        </w:r>
        <w:r w:rsidR="00882033">
          <w:rPr>
            <w:rFonts w:ascii="Arial" w:hAnsi="Arial" w:cs="Arial"/>
            <w:noProof/>
            <w:sz w:val="16"/>
            <w:szCs w:val="16"/>
          </w:rPr>
          <w:t>96</w:t>
        </w:r>
        <w:r w:rsidR="00EA0AF0" w:rsidRPr="00EA0AF0">
          <w:rPr>
            <w:rFonts w:ascii="Arial" w:hAnsi="Arial" w:cs="Arial"/>
            <w:sz w:val="16"/>
            <w:szCs w:val="16"/>
          </w:rPr>
          <w:fldChar w:fldCharType="end"/>
        </w:r>
      </w:sdtContent>
    </w:sdt>
    <w:r w:rsidR="00EA0AF0" w:rsidRPr="00EA0AF0">
      <w:rPr>
        <w:rFonts w:ascii="Arial" w:hAnsi="Arial" w:cs="Arial"/>
        <w:sz w:val="16"/>
        <w:szCs w:val="16"/>
      </w:rPr>
      <w:t xml:space="preserve">   P J M H S  Vol. 17, No. 3, March,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F0" w:rsidRDefault="00EA0AF0">
    <w:pPr>
      <w:pStyle w:val="Footer"/>
      <w:pBdr>
        <w:bottom w:val="single" w:sz="12" w:space="1" w:color="auto"/>
      </w:pBdr>
      <w:jc w:val="right"/>
    </w:pPr>
  </w:p>
  <w:p w:rsidR="00EA0AF0" w:rsidRPr="00EA0AF0" w:rsidRDefault="004318E1" w:rsidP="00EA0AF0">
    <w:pPr>
      <w:pStyle w:val="Footer"/>
      <w:jc w:val="right"/>
      <w:rPr>
        <w:rFonts w:ascii="Arial" w:hAnsi="Arial" w:cs="Arial"/>
        <w:sz w:val="16"/>
        <w:szCs w:val="16"/>
      </w:rPr>
    </w:pPr>
    <w:sdt>
      <w:sdtPr>
        <w:id w:val="27915894"/>
        <w:docPartObj>
          <w:docPartGallery w:val="Page Numbers (Bottom of Page)"/>
          <w:docPartUnique/>
        </w:docPartObj>
      </w:sdtPr>
      <w:sdtEndPr>
        <w:rPr>
          <w:rFonts w:ascii="Arial" w:hAnsi="Arial" w:cs="Arial"/>
          <w:sz w:val="16"/>
          <w:szCs w:val="16"/>
        </w:rPr>
      </w:sdtEndPr>
      <w:sdtContent>
        <w:r w:rsidR="00EA0AF0" w:rsidRPr="00EA0AF0">
          <w:rPr>
            <w:rFonts w:ascii="Arial" w:hAnsi="Arial" w:cs="Arial"/>
            <w:sz w:val="16"/>
            <w:szCs w:val="16"/>
          </w:rPr>
          <w:t xml:space="preserve">P J M H S  Vol. 17, No. 3, March, 2023   </w:t>
        </w:r>
        <w:r w:rsidR="00EA0AF0" w:rsidRPr="00EA0AF0">
          <w:rPr>
            <w:rFonts w:ascii="Arial" w:hAnsi="Arial" w:cs="Arial"/>
            <w:sz w:val="16"/>
            <w:szCs w:val="16"/>
          </w:rPr>
          <w:fldChar w:fldCharType="begin"/>
        </w:r>
        <w:r w:rsidR="00EA0AF0" w:rsidRPr="00EA0AF0">
          <w:rPr>
            <w:rFonts w:ascii="Arial" w:hAnsi="Arial" w:cs="Arial"/>
            <w:sz w:val="16"/>
            <w:szCs w:val="16"/>
          </w:rPr>
          <w:instrText xml:space="preserve"> PAGE   \* MERGEFORMAT </w:instrText>
        </w:r>
        <w:r w:rsidR="00EA0AF0" w:rsidRPr="00EA0AF0">
          <w:rPr>
            <w:rFonts w:ascii="Arial" w:hAnsi="Arial" w:cs="Arial"/>
            <w:sz w:val="16"/>
            <w:szCs w:val="16"/>
          </w:rPr>
          <w:fldChar w:fldCharType="separate"/>
        </w:r>
        <w:r w:rsidR="00882033">
          <w:rPr>
            <w:rFonts w:ascii="Arial" w:hAnsi="Arial" w:cs="Arial"/>
            <w:noProof/>
            <w:sz w:val="16"/>
            <w:szCs w:val="16"/>
          </w:rPr>
          <w:t>95</w:t>
        </w:r>
        <w:r w:rsidR="00EA0AF0" w:rsidRPr="00EA0AF0">
          <w:rPr>
            <w:rFonts w:ascii="Arial" w:hAnsi="Arial" w:cs="Arial"/>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F0" w:rsidRDefault="00EA0AF0">
    <w:pPr>
      <w:pStyle w:val="Footer"/>
      <w:pBdr>
        <w:bottom w:val="single" w:sz="12" w:space="1" w:color="auto"/>
      </w:pBdr>
    </w:pPr>
  </w:p>
  <w:p w:rsidR="00EA0AF0" w:rsidRDefault="004318E1">
    <w:pPr>
      <w:pStyle w:val="Footer"/>
    </w:pPr>
    <w:sdt>
      <w:sdtPr>
        <w:id w:val="27915870"/>
        <w:docPartObj>
          <w:docPartGallery w:val="Page Numbers (Bottom of Page)"/>
          <w:docPartUnique/>
        </w:docPartObj>
      </w:sdtPr>
      <w:sdtEndPr>
        <w:rPr>
          <w:rFonts w:ascii="Arial" w:hAnsi="Arial" w:cs="Arial"/>
          <w:sz w:val="16"/>
          <w:szCs w:val="16"/>
        </w:rPr>
      </w:sdtEndPr>
      <w:sdtContent>
        <w:r w:rsidR="00EA0AF0" w:rsidRPr="00EA0AF0">
          <w:rPr>
            <w:rFonts w:ascii="Arial" w:hAnsi="Arial" w:cs="Arial"/>
            <w:sz w:val="16"/>
            <w:szCs w:val="16"/>
          </w:rPr>
          <w:fldChar w:fldCharType="begin"/>
        </w:r>
        <w:r w:rsidR="00EA0AF0" w:rsidRPr="00EA0AF0">
          <w:rPr>
            <w:rFonts w:ascii="Arial" w:hAnsi="Arial" w:cs="Arial"/>
            <w:sz w:val="16"/>
            <w:szCs w:val="16"/>
          </w:rPr>
          <w:instrText xml:space="preserve"> PAGE   \* MERGEFORMAT </w:instrText>
        </w:r>
        <w:r w:rsidR="00EA0AF0" w:rsidRPr="00EA0AF0">
          <w:rPr>
            <w:rFonts w:ascii="Arial" w:hAnsi="Arial" w:cs="Arial"/>
            <w:sz w:val="16"/>
            <w:szCs w:val="16"/>
          </w:rPr>
          <w:fldChar w:fldCharType="separate"/>
        </w:r>
        <w:r w:rsidR="00882033">
          <w:rPr>
            <w:rFonts w:ascii="Arial" w:hAnsi="Arial" w:cs="Arial"/>
            <w:noProof/>
            <w:sz w:val="16"/>
            <w:szCs w:val="16"/>
          </w:rPr>
          <w:t>94</w:t>
        </w:r>
        <w:r w:rsidR="00EA0AF0" w:rsidRPr="00EA0AF0">
          <w:rPr>
            <w:rFonts w:ascii="Arial" w:hAnsi="Arial" w:cs="Arial"/>
            <w:sz w:val="16"/>
            <w:szCs w:val="16"/>
          </w:rPr>
          <w:fldChar w:fldCharType="end"/>
        </w:r>
      </w:sdtContent>
    </w:sdt>
    <w:r w:rsidR="00EA0AF0" w:rsidRPr="00EA0AF0">
      <w:rPr>
        <w:rFonts w:ascii="Arial" w:hAnsi="Arial" w:cs="Arial"/>
        <w:sz w:val="16"/>
        <w:szCs w:val="16"/>
      </w:rPr>
      <w:t xml:space="preserve">   P J M H S  Vol. 17, No. 3, March,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E1" w:rsidRDefault="004318E1" w:rsidP="002A6AC5">
      <w:pPr>
        <w:spacing w:after="0" w:line="240" w:lineRule="auto"/>
      </w:pPr>
      <w:r>
        <w:separator/>
      </w:r>
    </w:p>
  </w:footnote>
  <w:footnote w:type="continuationSeparator" w:id="0">
    <w:p w:rsidR="004318E1" w:rsidRDefault="004318E1" w:rsidP="002A6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F0" w:rsidRDefault="00EA0AF0">
    <w:pPr>
      <w:pStyle w:val="Header"/>
      <w:pBdr>
        <w:bottom w:val="single" w:sz="12" w:space="1" w:color="auto"/>
      </w:pBdr>
    </w:pPr>
    <w:r w:rsidRPr="002A4926">
      <w:rPr>
        <w:rFonts w:ascii="Arial" w:hAnsi="Arial" w:cs="Arial"/>
        <w:bCs/>
        <w:sz w:val="16"/>
        <w:szCs w:val="16"/>
      </w:rPr>
      <w:t>Role of echo and plasma fibrinigen in diagnosing LVH among CKD patients</w:t>
    </w:r>
  </w:p>
  <w:p w:rsidR="00EA0AF0" w:rsidRDefault="00EA0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81" w:rsidRDefault="00EA0AF0" w:rsidP="00EA0AF0">
    <w:pPr>
      <w:pStyle w:val="Header"/>
      <w:pBdr>
        <w:bottom w:val="single" w:sz="12" w:space="1" w:color="auto"/>
      </w:pBdr>
      <w:jc w:val="right"/>
    </w:pPr>
    <w:r w:rsidRPr="002A4926">
      <w:rPr>
        <w:rFonts w:ascii="Arial" w:hAnsi="Arial" w:cs="Arial"/>
        <w:sz w:val="16"/>
        <w:szCs w:val="16"/>
      </w:rPr>
      <w:t>H</w:t>
    </w:r>
    <w:r>
      <w:rPr>
        <w:rFonts w:ascii="Arial" w:hAnsi="Arial" w:cs="Arial"/>
        <w:sz w:val="16"/>
        <w:szCs w:val="16"/>
      </w:rPr>
      <w:t>.</w:t>
    </w:r>
    <w:r w:rsidRPr="002A4926">
      <w:rPr>
        <w:rFonts w:ascii="Arial" w:hAnsi="Arial" w:cs="Arial"/>
        <w:sz w:val="16"/>
        <w:szCs w:val="16"/>
      </w:rPr>
      <w:t xml:space="preserve"> Hussain, M</w:t>
    </w:r>
    <w:r>
      <w:rPr>
        <w:rFonts w:ascii="Arial" w:hAnsi="Arial" w:cs="Arial"/>
        <w:sz w:val="16"/>
        <w:szCs w:val="16"/>
      </w:rPr>
      <w:t>.</w:t>
    </w:r>
    <w:r w:rsidRPr="002A4926">
      <w:rPr>
        <w:rFonts w:ascii="Arial" w:hAnsi="Arial" w:cs="Arial"/>
        <w:sz w:val="16"/>
        <w:szCs w:val="16"/>
      </w:rPr>
      <w:t xml:space="preserve"> Saeed, </w:t>
    </w:r>
    <w:r w:rsidRPr="002A4926">
      <w:rPr>
        <w:rFonts w:ascii="Arial" w:hAnsi="Arial" w:cs="Arial"/>
        <w:bCs/>
        <w:sz w:val="16"/>
        <w:szCs w:val="16"/>
      </w:rPr>
      <w:t>H</w:t>
    </w:r>
    <w:r>
      <w:rPr>
        <w:rFonts w:ascii="Arial" w:hAnsi="Arial" w:cs="Arial"/>
        <w:bCs/>
        <w:sz w:val="16"/>
        <w:szCs w:val="16"/>
      </w:rPr>
      <w:t>.</w:t>
    </w:r>
    <w:r w:rsidRPr="002A4926">
      <w:rPr>
        <w:rFonts w:ascii="Arial" w:hAnsi="Arial" w:cs="Arial"/>
        <w:bCs/>
        <w:sz w:val="16"/>
        <w:szCs w:val="16"/>
      </w:rPr>
      <w:t xml:space="preserve"> N</w:t>
    </w:r>
    <w:r>
      <w:rPr>
        <w:rFonts w:ascii="Arial" w:hAnsi="Arial" w:cs="Arial"/>
        <w:bCs/>
        <w:sz w:val="16"/>
        <w:szCs w:val="16"/>
      </w:rPr>
      <w:t>.</w:t>
    </w:r>
    <w:r w:rsidRPr="002A4926">
      <w:rPr>
        <w:rFonts w:ascii="Arial" w:hAnsi="Arial" w:cs="Arial"/>
        <w:bCs/>
        <w:sz w:val="16"/>
        <w:szCs w:val="16"/>
      </w:rPr>
      <w:t xml:space="preserve"> Lodhi</w:t>
    </w:r>
    <w:r>
      <w:rPr>
        <w:rFonts w:ascii="Arial" w:hAnsi="Arial" w:cs="Arial"/>
        <w:bCs/>
        <w:sz w:val="16"/>
        <w:szCs w:val="16"/>
      </w:rPr>
      <w:t xml:space="preserve"> et al</w:t>
    </w:r>
  </w:p>
  <w:p w:rsidR="00EA0AF0" w:rsidRDefault="00EA0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033" w:rsidRDefault="00882033" w:rsidP="00882033">
    <w:pPr>
      <w:pBdr>
        <w:bottom w:val="single" w:sz="12" w:space="1" w:color="auto"/>
      </w:pBdr>
      <w:tabs>
        <w:tab w:val="center" w:pos="4680"/>
        <w:tab w:val="right" w:pos="9360"/>
      </w:tabs>
      <w:jc w:val="right"/>
      <w:rPr>
        <w:sz w:val="18"/>
        <w:szCs w:val="18"/>
      </w:rPr>
    </w:pPr>
    <w:r>
      <w:rPr>
        <w:sz w:val="18"/>
        <w:szCs w:val="18"/>
        <w:shd w:val="clear" w:color="auto" w:fill="FFFFFF"/>
      </w:rPr>
      <w:t>DOI: https://doi.org/10.53350/pjmhs2023173</w:t>
    </w:r>
    <w:r>
      <w:rPr>
        <w:sz w:val="18"/>
        <w:szCs w:val="18"/>
        <w:shd w:val="clear" w:color="auto" w:fill="FFFFFF"/>
      </w:rPr>
      <w:t>94</w:t>
    </w:r>
  </w:p>
  <w:p w:rsidR="00EA0AF0" w:rsidRDefault="00EA0AF0">
    <w:pPr>
      <w:pStyle w:val="Header"/>
    </w:pPr>
    <w:r w:rsidRPr="00EA0AF0">
      <w:rPr>
        <w:rFonts w:ascii="Arial" w:hAnsi="Arial" w:cs="Arial"/>
        <w:b/>
        <w:sz w:val="20"/>
      </w:rPr>
      <w:t>ORIGINAL ARTICLE</w:t>
    </w:r>
  </w:p>
  <w:p w:rsidR="00EA0AF0" w:rsidRDefault="00EA0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65945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114745"/>
    <w:multiLevelType w:val="hybridMultilevel"/>
    <w:tmpl w:val="2910A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43939"/>
    <w:multiLevelType w:val="hybridMultilevel"/>
    <w:tmpl w:val="E4622C6E"/>
    <w:lvl w:ilvl="0" w:tplc="ED1C00D6">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1243B"/>
    <w:multiLevelType w:val="hybridMultilevel"/>
    <w:tmpl w:val="8B54ACE6"/>
    <w:lvl w:ilvl="0" w:tplc="685CFF80">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03B5B"/>
    <w:multiLevelType w:val="hybridMultilevel"/>
    <w:tmpl w:val="C5EC9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9097B"/>
    <w:multiLevelType w:val="hybridMultilevel"/>
    <w:tmpl w:val="B19E8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A65DB"/>
    <w:multiLevelType w:val="multilevel"/>
    <w:tmpl w:val="BDD88608"/>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2973D51"/>
    <w:multiLevelType w:val="hybridMultilevel"/>
    <w:tmpl w:val="76B6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B5742"/>
    <w:multiLevelType w:val="hybridMultilevel"/>
    <w:tmpl w:val="8416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E3FD0"/>
    <w:multiLevelType w:val="hybridMultilevel"/>
    <w:tmpl w:val="20BC55B8"/>
    <w:lvl w:ilvl="0" w:tplc="DB68C52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A0F6B"/>
    <w:multiLevelType w:val="multilevel"/>
    <w:tmpl w:val="63C4F0F2"/>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C236CAC"/>
    <w:multiLevelType w:val="hybridMultilevel"/>
    <w:tmpl w:val="7F5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D2B38"/>
    <w:multiLevelType w:val="hybridMultilevel"/>
    <w:tmpl w:val="08A8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C277A"/>
    <w:multiLevelType w:val="multilevel"/>
    <w:tmpl w:val="622EE536"/>
    <w:lvl w:ilvl="0">
      <w:start w:val="1"/>
      <w:numFmt w:val="decimal"/>
      <w:lvlText w:val="%1."/>
      <w:lvlJc w:val="left"/>
      <w:pPr>
        <w:ind w:left="1020" w:hanging="720"/>
      </w:pPr>
      <w:rPr>
        <w:rFonts w:ascii="Times New Roman" w:eastAsia="Times New Roman" w:hAnsi="Times New Roman" w:cs="Times New Roman" w:hint="default"/>
        <w:b/>
        <w:bCs/>
        <w:spacing w:val="0"/>
        <w:w w:val="99"/>
        <w:sz w:val="32"/>
        <w:szCs w:val="32"/>
        <w:lang w:val="en-US" w:eastAsia="en-US" w:bidi="en-US"/>
      </w:rPr>
    </w:lvl>
    <w:lvl w:ilvl="1">
      <w:start w:val="1"/>
      <w:numFmt w:val="decimal"/>
      <w:lvlText w:val="%1.%2."/>
      <w:lvlJc w:val="left"/>
      <w:pPr>
        <w:ind w:left="1020" w:hanging="720"/>
      </w:pPr>
      <w:rPr>
        <w:rFonts w:ascii="Times New Roman" w:eastAsia="Times New Roman" w:hAnsi="Times New Roman" w:cs="Times New Roman" w:hint="default"/>
        <w:b/>
        <w:bCs/>
        <w:w w:val="100"/>
        <w:sz w:val="28"/>
        <w:szCs w:val="28"/>
        <w:lang w:val="en-US" w:eastAsia="en-US" w:bidi="en-US"/>
      </w:rPr>
    </w:lvl>
    <w:lvl w:ilvl="2">
      <w:start w:val="1"/>
      <w:numFmt w:val="decimal"/>
      <w:lvlText w:val="%1.%2.%3."/>
      <w:lvlJc w:val="left"/>
      <w:pPr>
        <w:ind w:left="1020" w:hanging="720"/>
      </w:pPr>
      <w:rPr>
        <w:rFonts w:ascii="Times New Roman" w:eastAsia="Times New Roman" w:hAnsi="Times New Roman" w:cs="Times New Roman" w:hint="default"/>
        <w:b/>
        <w:bCs/>
        <w:w w:val="99"/>
        <w:sz w:val="26"/>
        <w:szCs w:val="26"/>
        <w:lang w:val="en-US" w:eastAsia="en-US" w:bidi="en-US"/>
      </w:rPr>
    </w:lvl>
    <w:lvl w:ilvl="3">
      <w:start w:val="1"/>
      <w:numFmt w:val="decimal"/>
      <w:lvlText w:val="%1.%2.%3.%4."/>
      <w:lvlJc w:val="left"/>
      <w:pPr>
        <w:ind w:left="1380" w:hanging="1080"/>
      </w:pPr>
      <w:rPr>
        <w:rFonts w:ascii="Times New Roman" w:eastAsia="Times New Roman" w:hAnsi="Times New Roman" w:cs="Times New Roman" w:hint="default"/>
        <w:b/>
        <w:bCs/>
        <w:spacing w:val="-2"/>
        <w:w w:val="99"/>
        <w:sz w:val="24"/>
        <w:szCs w:val="24"/>
        <w:lang w:val="en-US" w:eastAsia="en-US" w:bidi="en-US"/>
      </w:rPr>
    </w:lvl>
    <w:lvl w:ilvl="4">
      <w:start w:val="1"/>
      <w:numFmt w:val="lowerRoman"/>
      <w:lvlText w:val="%5."/>
      <w:lvlJc w:val="left"/>
      <w:pPr>
        <w:ind w:left="1380" w:hanging="720"/>
      </w:pPr>
      <w:rPr>
        <w:rFonts w:ascii="Times New Roman" w:eastAsia="Times New Roman" w:hAnsi="Times New Roman" w:cs="Times New Roman" w:hint="default"/>
        <w:b/>
        <w:bCs/>
        <w:spacing w:val="-3"/>
        <w:w w:val="99"/>
        <w:sz w:val="24"/>
        <w:szCs w:val="24"/>
        <w:lang w:val="en-US" w:eastAsia="en-US" w:bidi="en-US"/>
      </w:rPr>
    </w:lvl>
    <w:lvl w:ilvl="5">
      <w:numFmt w:val="bullet"/>
      <w:lvlText w:val="•"/>
      <w:lvlJc w:val="left"/>
      <w:pPr>
        <w:ind w:left="5311" w:hanging="720"/>
      </w:pPr>
      <w:rPr>
        <w:lang w:val="en-US" w:eastAsia="en-US" w:bidi="en-US"/>
      </w:rPr>
    </w:lvl>
    <w:lvl w:ilvl="6">
      <w:numFmt w:val="bullet"/>
      <w:lvlText w:val="•"/>
      <w:lvlJc w:val="left"/>
      <w:pPr>
        <w:ind w:left="6294" w:hanging="720"/>
      </w:pPr>
      <w:rPr>
        <w:lang w:val="en-US" w:eastAsia="en-US" w:bidi="en-US"/>
      </w:rPr>
    </w:lvl>
    <w:lvl w:ilvl="7">
      <w:numFmt w:val="bullet"/>
      <w:lvlText w:val="•"/>
      <w:lvlJc w:val="left"/>
      <w:pPr>
        <w:ind w:left="7277" w:hanging="720"/>
      </w:pPr>
      <w:rPr>
        <w:lang w:val="en-US" w:eastAsia="en-US" w:bidi="en-US"/>
      </w:rPr>
    </w:lvl>
    <w:lvl w:ilvl="8">
      <w:numFmt w:val="bullet"/>
      <w:lvlText w:val="•"/>
      <w:lvlJc w:val="left"/>
      <w:pPr>
        <w:ind w:left="8260" w:hanging="720"/>
      </w:pPr>
      <w:rPr>
        <w:lang w:val="en-US" w:eastAsia="en-US" w:bidi="en-US"/>
      </w:rPr>
    </w:lvl>
  </w:abstractNum>
  <w:abstractNum w:abstractNumId="14">
    <w:nsid w:val="37B31DA1"/>
    <w:multiLevelType w:val="hybridMultilevel"/>
    <w:tmpl w:val="49EA2144"/>
    <w:lvl w:ilvl="0" w:tplc="1DFE0DE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47181"/>
    <w:multiLevelType w:val="hybridMultilevel"/>
    <w:tmpl w:val="08C01196"/>
    <w:lvl w:ilvl="0" w:tplc="D72C320A">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327F2"/>
    <w:multiLevelType w:val="multilevel"/>
    <w:tmpl w:val="72F0DD8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CB3C71"/>
    <w:multiLevelType w:val="hybridMultilevel"/>
    <w:tmpl w:val="16FE7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2A03FC"/>
    <w:multiLevelType w:val="hybridMultilevel"/>
    <w:tmpl w:val="0FA8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65E5F"/>
    <w:multiLevelType w:val="hybridMultilevel"/>
    <w:tmpl w:val="39E8E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20646"/>
    <w:multiLevelType w:val="hybridMultilevel"/>
    <w:tmpl w:val="BE6A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9291D"/>
    <w:multiLevelType w:val="hybridMultilevel"/>
    <w:tmpl w:val="011031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45004A"/>
    <w:multiLevelType w:val="hybridMultilevel"/>
    <w:tmpl w:val="8386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D690B"/>
    <w:multiLevelType w:val="hybridMultilevel"/>
    <w:tmpl w:val="D2442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6832E3"/>
    <w:multiLevelType w:val="hybridMultilevel"/>
    <w:tmpl w:val="ED7A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8137E"/>
    <w:multiLevelType w:val="multilevel"/>
    <w:tmpl w:val="0D70C6D2"/>
    <w:lvl w:ilvl="0">
      <w:start w:val="1"/>
      <w:numFmt w:val="decimal"/>
      <w:lvlText w:val="%1."/>
      <w:lvlJc w:val="left"/>
      <w:pPr>
        <w:ind w:left="720" w:hanging="360"/>
      </w:pPr>
      <w:rPr>
        <w:strike w:val="0"/>
        <w:dstrike w:val="0"/>
        <w:color w:val="222222"/>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6">
    <w:nsid w:val="50ED6770"/>
    <w:multiLevelType w:val="hybridMultilevel"/>
    <w:tmpl w:val="DBB08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095D1E"/>
    <w:multiLevelType w:val="hybridMultilevel"/>
    <w:tmpl w:val="44C8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432E7"/>
    <w:multiLevelType w:val="hybridMultilevel"/>
    <w:tmpl w:val="2416BA3E"/>
    <w:lvl w:ilvl="0" w:tplc="439C45D0">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4610C7"/>
    <w:multiLevelType w:val="hybridMultilevel"/>
    <w:tmpl w:val="BD609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873FF9"/>
    <w:multiLevelType w:val="hybridMultilevel"/>
    <w:tmpl w:val="EC18D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5278CC"/>
    <w:multiLevelType w:val="hybridMultilevel"/>
    <w:tmpl w:val="7F4E73E0"/>
    <w:lvl w:ilvl="0" w:tplc="B7CC8520">
      <w:start w:val="2"/>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32">
    <w:nsid w:val="5ED97426"/>
    <w:multiLevelType w:val="hybridMultilevel"/>
    <w:tmpl w:val="282E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C895D"/>
    <w:multiLevelType w:val="hybridMultilevel"/>
    <w:tmpl w:val="3410994C"/>
    <w:lvl w:ilvl="0" w:tplc="821623EC">
      <w:start w:val="1"/>
      <w:numFmt w:val="bullet"/>
      <w:lvlText w:val="•"/>
      <w:lvlJc w:val="left"/>
    </w:lvl>
    <w:lvl w:ilvl="1" w:tplc="941C5B34">
      <w:numFmt w:val="decimal"/>
      <w:lvlText w:val=""/>
      <w:lvlJc w:val="left"/>
    </w:lvl>
    <w:lvl w:ilvl="2" w:tplc="4576546A">
      <w:numFmt w:val="decimal"/>
      <w:lvlText w:val=""/>
      <w:lvlJc w:val="left"/>
    </w:lvl>
    <w:lvl w:ilvl="3" w:tplc="D8281380">
      <w:numFmt w:val="decimal"/>
      <w:lvlText w:val=""/>
      <w:lvlJc w:val="left"/>
    </w:lvl>
    <w:lvl w:ilvl="4" w:tplc="72EAF7EC">
      <w:numFmt w:val="decimal"/>
      <w:lvlText w:val=""/>
      <w:lvlJc w:val="left"/>
    </w:lvl>
    <w:lvl w:ilvl="5" w:tplc="B3705696">
      <w:numFmt w:val="decimal"/>
      <w:lvlText w:val=""/>
      <w:lvlJc w:val="left"/>
    </w:lvl>
    <w:lvl w:ilvl="6" w:tplc="0D943D42">
      <w:numFmt w:val="decimal"/>
      <w:lvlText w:val=""/>
      <w:lvlJc w:val="left"/>
    </w:lvl>
    <w:lvl w:ilvl="7" w:tplc="8CDA2E94">
      <w:numFmt w:val="decimal"/>
      <w:lvlText w:val=""/>
      <w:lvlJc w:val="left"/>
    </w:lvl>
    <w:lvl w:ilvl="8" w:tplc="491AE324">
      <w:numFmt w:val="decimal"/>
      <w:lvlText w:val=""/>
      <w:lvlJc w:val="left"/>
    </w:lvl>
  </w:abstractNum>
  <w:abstractNum w:abstractNumId="34">
    <w:nsid w:val="62DC59D4"/>
    <w:multiLevelType w:val="hybridMultilevel"/>
    <w:tmpl w:val="A62C6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63845E"/>
    <w:multiLevelType w:val="hybridMultilevel"/>
    <w:tmpl w:val="BE8CB5DE"/>
    <w:lvl w:ilvl="0" w:tplc="B7C44A3C">
      <w:start w:val="1"/>
      <w:numFmt w:val="decimal"/>
      <w:lvlText w:val="%1."/>
      <w:lvlJc w:val="left"/>
    </w:lvl>
    <w:lvl w:ilvl="1" w:tplc="3B1CEC04">
      <w:numFmt w:val="decimal"/>
      <w:lvlText w:val=""/>
      <w:lvlJc w:val="left"/>
    </w:lvl>
    <w:lvl w:ilvl="2" w:tplc="06B83634">
      <w:numFmt w:val="decimal"/>
      <w:lvlText w:val=""/>
      <w:lvlJc w:val="left"/>
    </w:lvl>
    <w:lvl w:ilvl="3" w:tplc="EBA49C18">
      <w:numFmt w:val="decimal"/>
      <w:lvlText w:val=""/>
      <w:lvlJc w:val="left"/>
    </w:lvl>
    <w:lvl w:ilvl="4" w:tplc="BFF843FA">
      <w:numFmt w:val="decimal"/>
      <w:lvlText w:val=""/>
      <w:lvlJc w:val="left"/>
    </w:lvl>
    <w:lvl w:ilvl="5" w:tplc="5E8A61E2">
      <w:numFmt w:val="decimal"/>
      <w:lvlText w:val=""/>
      <w:lvlJc w:val="left"/>
    </w:lvl>
    <w:lvl w:ilvl="6" w:tplc="90382DDC">
      <w:numFmt w:val="decimal"/>
      <w:lvlText w:val=""/>
      <w:lvlJc w:val="left"/>
    </w:lvl>
    <w:lvl w:ilvl="7" w:tplc="D1486FF6">
      <w:numFmt w:val="decimal"/>
      <w:lvlText w:val=""/>
      <w:lvlJc w:val="left"/>
    </w:lvl>
    <w:lvl w:ilvl="8" w:tplc="93825776">
      <w:numFmt w:val="decimal"/>
      <w:lvlText w:val=""/>
      <w:lvlJc w:val="left"/>
    </w:lvl>
  </w:abstractNum>
  <w:abstractNum w:abstractNumId="36">
    <w:nsid w:val="698018AC"/>
    <w:multiLevelType w:val="hybridMultilevel"/>
    <w:tmpl w:val="8B081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585A7D"/>
    <w:multiLevelType w:val="hybridMultilevel"/>
    <w:tmpl w:val="93FA88DE"/>
    <w:lvl w:ilvl="0" w:tplc="649ADC06">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65969"/>
    <w:multiLevelType w:val="hybridMultilevel"/>
    <w:tmpl w:val="99B8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31"/>
  </w:num>
  <w:num w:numId="3">
    <w:abstractNumId w:val="13"/>
  </w:num>
  <w:num w:numId="4">
    <w:abstractNumId w:val="3"/>
  </w:num>
  <w:num w:numId="5">
    <w:abstractNumId w:val="11"/>
  </w:num>
  <w:num w:numId="6">
    <w:abstractNumId w:val="28"/>
  </w:num>
  <w:num w:numId="7">
    <w:abstractNumId w:val="1"/>
  </w:num>
  <w:num w:numId="8">
    <w:abstractNumId w:val="38"/>
  </w:num>
  <w:num w:numId="9">
    <w:abstractNumId w:val="9"/>
  </w:num>
  <w:num w:numId="10">
    <w:abstractNumId w:val="21"/>
  </w:num>
  <w:num w:numId="11">
    <w:abstractNumId w:val="33"/>
  </w:num>
  <w:num w:numId="12">
    <w:abstractNumId w:val="35"/>
  </w:num>
  <w:num w:numId="13">
    <w:abstractNumId w:val="20"/>
  </w:num>
  <w:num w:numId="14">
    <w:abstractNumId w:val="8"/>
  </w:num>
  <w:num w:numId="15">
    <w:abstractNumId w:val="10"/>
  </w:num>
  <w:num w:numId="16">
    <w:abstractNumId w:val="19"/>
  </w:num>
  <w:num w:numId="17">
    <w:abstractNumId w:val="37"/>
  </w:num>
  <w:num w:numId="18">
    <w:abstractNumId w:val="32"/>
  </w:num>
  <w:num w:numId="19">
    <w:abstractNumId w:val="0"/>
  </w:num>
  <w:num w:numId="20">
    <w:abstractNumId w:val="2"/>
  </w:num>
  <w:num w:numId="21">
    <w:abstractNumId w:val="29"/>
  </w:num>
  <w:num w:numId="22">
    <w:abstractNumId w:val="4"/>
  </w:num>
  <w:num w:numId="23">
    <w:abstractNumId w:val="16"/>
  </w:num>
  <w:num w:numId="24">
    <w:abstractNumId w:val="12"/>
  </w:num>
  <w:num w:numId="25">
    <w:abstractNumId w:val="7"/>
  </w:num>
  <w:num w:numId="26">
    <w:abstractNumId w:val="22"/>
  </w:num>
  <w:num w:numId="27">
    <w:abstractNumId w:val="24"/>
  </w:num>
  <w:num w:numId="28">
    <w:abstractNumId w:val="30"/>
  </w:num>
  <w:num w:numId="29">
    <w:abstractNumId w:val="36"/>
  </w:num>
  <w:num w:numId="30">
    <w:abstractNumId w:val="5"/>
  </w:num>
  <w:num w:numId="31">
    <w:abstractNumId w:val="27"/>
  </w:num>
  <w:num w:numId="32">
    <w:abstractNumId w:val="14"/>
  </w:num>
  <w:num w:numId="33">
    <w:abstractNumId w:val="6"/>
  </w:num>
  <w:num w:numId="34">
    <w:abstractNumId w:val="1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4"/>
  </w:num>
  <w:num w:numId="38">
    <w:abstractNumId w:val="17"/>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432"/>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65DB"/>
    <w:rsid w:val="00001965"/>
    <w:rsid w:val="00001BBC"/>
    <w:rsid w:val="00002940"/>
    <w:rsid w:val="0000317A"/>
    <w:rsid w:val="00003251"/>
    <w:rsid w:val="000046D1"/>
    <w:rsid w:val="0000473D"/>
    <w:rsid w:val="00004969"/>
    <w:rsid w:val="00004D12"/>
    <w:rsid w:val="00006D3C"/>
    <w:rsid w:val="00007442"/>
    <w:rsid w:val="00007A04"/>
    <w:rsid w:val="00007AE4"/>
    <w:rsid w:val="00007DC1"/>
    <w:rsid w:val="00010012"/>
    <w:rsid w:val="00010AED"/>
    <w:rsid w:val="00011518"/>
    <w:rsid w:val="0001206F"/>
    <w:rsid w:val="00012324"/>
    <w:rsid w:val="000133F9"/>
    <w:rsid w:val="00013906"/>
    <w:rsid w:val="00015252"/>
    <w:rsid w:val="00015C35"/>
    <w:rsid w:val="0001697D"/>
    <w:rsid w:val="00017D10"/>
    <w:rsid w:val="00020C39"/>
    <w:rsid w:val="00020EEA"/>
    <w:rsid w:val="000223AE"/>
    <w:rsid w:val="00022E87"/>
    <w:rsid w:val="0002335D"/>
    <w:rsid w:val="0002339C"/>
    <w:rsid w:val="00023A30"/>
    <w:rsid w:val="00023E81"/>
    <w:rsid w:val="00024DA1"/>
    <w:rsid w:val="00024F5E"/>
    <w:rsid w:val="00025BC3"/>
    <w:rsid w:val="00025E37"/>
    <w:rsid w:val="00025E4F"/>
    <w:rsid w:val="00025E86"/>
    <w:rsid w:val="00027A6E"/>
    <w:rsid w:val="00027B42"/>
    <w:rsid w:val="0003020F"/>
    <w:rsid w:val="00030925"/>
    <w:rsid w:val="00031B85"/>
    <w:rsid w:val="000320B4"/>
    <w:rsid w:val="000320BB"/>
    <w:rsid w:val="000320DC"/>
    <w:rsid w:val="00032640"/>
    <w:rsid w:val="0003398B"/>
    <w:rsid w:val="00033C5C"/>
    <w:rsid w:val="00033E81"/>
    <w:rsid w:val="00033F08"/>
    <w:rsid w:val="0003427A"/>
    <w:rsid w:val="000344BA"/>
    <w:rsid w:val="000346FC"/>
    <w:rsid w:val="00034751"/>
    <w:rsid w:val="000351E4"/>
    <w:rsid w:val="000357B2"/>
    <w:rsid w:val="00036406"/>
    <w:rsid w:val="000366CC"/>
    <w:rsid w:val="00036813"/>
    <w:rsid w:val="00036853"/>
    <w:rsid w:val="00036A07"/>
    <w:rsid w:val="00037651"/>
    <w:rsid w:val="00037986"/>
    <w:rsid w:val="00037C9A"/>
    <w:rsid w:val="00037DB0"/>
    <w:rsid w:val="00040286"/>
    <w:rsid w:val="0004063A"/>
    <w:rsid w:val="00040B07"/>
    <w:rsid w:val="0004117D"/>
    <w:rsid w:val="00041B0D"/>
    <w:rsid w:val="00041B35"/>
    <w:rsid w:val="00041BD3"/>
    <w:rsid w:val="00041EE6"/>
    <w:rsid w:val="000424D5"/>
    <w:rsid w:val="000424FF"/>
    <w:rsid w:val="00042D68"/>
    <w:rsid w:val="0004318F"/>
    <w:rsid w:val="00043AFE"/>
    <w:rsid w:val="00044086"/>
    <w:rsid w:val="00044BC3"/>
    <w:rsid w:val="00044C5E"/>
    <w:rsid w:val="0004568A"/>
    <w:rsid w:val="00046428"/>
    <w:rsid w:val="000469B1"/>
    <w:rsid w:val="00046E19"/>
    <w:rsid w:val="00047B6C"/>
    <w:rsid w:val="00050208"/>
    <w:rsid w:val="000513A7"/>
    <w:rsid w:val="00051AE4"/>
    <w:rsid w:val="000527BD"/>
    <w:rsid w:val="00052F47"/>
    <w:rsid w:val="000539A0"/>
    <w:rsid w:val="00054201"/>
    <w:rsid w:val="0005428F"/>
    <w:rsid w:val="00055613"/>
    <w:rsid w:val="0005614B"/>
    <w:rsid w:val="00056701"/>
    <w:rsid w:val="00057DF7"/>
    <w:rsid w:val="000603F0"/>
    <w:rsid w:val="000610A9"/>
    <w:rsid w:val="00061173"/>
    <w:rsid w:val="00061B2D"/>
    <w:rsid w:val="0006331D"/>
    <w:rsid w:val="00063F8D"/>
    <w:rsid w:val="00064493"/>
    <w:rsid w:val="0006574A"/>
    <w:rsid w:val="00065A34"/>
    <w:rsid w:val="00066364"/>
    <w:rsid w:val="000669A7"/>
    <w:rsid w:val="00066B32"/>
    <w:rsid w:val="00066BC2"/>
    <w:rsid w:val="0007018A"/>
    <w:rsid w:val="000706E6"/>
    <w:rsid w:val="00070EE6"/>
    <w:rsid w:val="00071736"/>
    <w:rsid w:val="00072636"/>
    <w:rsid w:val="00072D60"/>
    <w:rsid w:val="00072E8A"/>
    <w:rsid w:val="000736BA"/>
    <w:rsid w:val="0007458F"/>
    <w:rsid w:val="00074E57"/>
    <w:rsid w:val="00075311"/>
    <w:rsid w:val="00075BC1"/>
    <w:rsid w:val="00075F1B"/>
    <w:rsid w:val="00076483"/>
    <w:rsid w:val="00076543"/>
    <w:rsid w:val="000776EC"/>
    <w:rsid w:val="00077AFF"/>
    <w:rsid w:val="00077E2B"/>
    <w:rsid w:val="000804AB"/>
    <w:rsid w:val="00081480"/>
    <w:rsid w:val="000825CD"/>
    <w:rsid w:val="0008262E"/>
    <w:rsid w:val="00082CC0"/>
    <w:rsid w:val="00082DB2"/>
    <w:rsid w:val="00082E70"/>
    <w:rsid w:val="00082F09"/>
    <w:rsid w:val="000842B0"/>
    <w:rsid w:val="00084565"/>
    <w:rsid w:val="00084BC2"/>
    <w:rsid w:val="0008567D"/>
    <w:rsid w:val="000859ED"/>
    <w:rsid w:val="00085A96"/>
    <w:rsid w:val="00086246"/>
    <w:rsid w:val="000869E0"/>
    <w:rsid w:val="000876FB"/>
    <w:rsid w:val="000877F2"/>
    <w:rsid w:val="000907BB"/>
    <w:rsid w:val="00091A55"/>
    <w:rsid w:val="00091CEF"/>
    <w:rsid w:val="00092517"/>
    <w:rsid w:val="00093010"/>
    <w:rsid w:val="0009368D"/>
    <w:rsid w:val="000944EF"/>
    <w:rsid w:val="00094CE2"/>
    <w:rsid w:val="00095956"/>
    <w:rsid w:val="00095D6F"/>
    <w:rsid w:val="000A1553"/>
    <w:rsid w:val="000A22C3"/>
    <w:rsid w:val="000A2318"/>
    <w:rsid w:val="000A2771"/>
    <w:rsid w:val="000A2C9D"/>
    <w:rsid w:val="000A4BCA"/>
    <w:rsid w:val="000A57B9"/>
    <w:rsid w:val="000A6732"/>
    <w:rsid w:val="000A7979"/>
    <w:rsid w:val="000A7C53"/>
    <w:rsid w:val="000A7F80"/>
    <w:rsid w:val="000B009B"/>
    <w:rsid w:val="000B02E9"/>
    <w:rsid w:val="000B0462"/>
    <w:rsid w:val="000B051B"/>
    <w:rsid w:val="000B078C"/>
    <w:rsid w:val="000B0B37"/>
    <w:rsid w:val="000B0F77"/>
    <w:rsid w:val="000B21F0"/>
    <w:rsid w:val="000B24AA"/>
    <w:rsid w:val="000B3057"/>
    <w:rsid w:val="000B3590"/>
    <w:rsid w:val="000B3762"/>
    <w:rsid w:val="000B4C3C"/>
    <w:rsid w:val="000B5BB8"/>
    <w:rsid w:val="000B5FE9"/>
    <w:rsid w:val="000B6629"/>
    <w:rsid w:val="000B6777"/>
    <w:rsid w:val="000B6B57"/>
    <w:rsid w:val="000B74C9"/>
    <w:rsid w:val="000B7813"/>
    <w:rsid w:val="000B7B14"/>
    <w:rsid w:val="000B7B95"/>
    <w:rsid w:val="000B7BBB"/>
    <w:rsid w:val="000C03C1"/>
    <w:rsid w:val="000C04DF"/>
    <w:rsid w:val="000C050A"/>
    <w:rsid w:val="000C1230"/>
    <w:rsid w:val="000C1B47"/>
    <w:rsid w:val="000C2333"/>
    <w:rsid w:val="000C40B8"/>
    <w:rsid w:val="000C43B5"/>
    <w:rsid w:val="000C6AA6"/>
    <w:rsid w:val="000C6EC3"/>
    <w:rsid w:val="000C7272"/>
    <w:rsid w:val="000C746A"/>
    <w:rsid w:val="000C7A8C"/>
    <w:rsid w:val="000C7BF1"/>
    <w:rsid w:val="000C7CD7"/>
    <w:rsid w:val="000C7E05"/>
    <w:rsid w:val="000C7F1C"/>
    <w:rsid w:val="000D03F4"/>
    <w:rsid w:val="000D0494"/>
    <w:rsid w:val="000D0674"/>
    <w:rsid w:val="000D07CB"/>
    <w:rsid w:val="000D0F4D"/>
    <w:rsid w:val="000D11D1"/>
    <w:rsid w:val="000D125D"/>
    <w:rsid w:val="000D2E52"/>
    <w:rsid w:val="000D3672"/>
    <w:rsid w:val="000D4303"/>
    <w:rsid w:val="000D43B4"/>
    <w:rsid w:val="000D49CE"/>
    <w:rsid w:val="000D4DC9"/>
    <w:rsid w:val="000D50E8"/>
    <w:rsid w:val="000D5DAD"/>
    <w:rsid w:val="000D5DF8"/>
    <w:rsid w:val="000D6073"/>
    <w:rsid w:val="000D70AC"/>
    <w:rsid w:val="000E0456"/>
    <w:rsid w:val="000E0902"/>
    <w:rsid w:val="000E091B"/>
    <w:rsid w:val="000E0A53"/>
    <w:rsid w:val="000E0D35"/>
    <w:rsid w:val="000E0EA7"/>
    <w:rsid w:val="000E11D6"/>
    <w:rsid w:val="000E167A"/>
    <w:rsid w:val="000E17B8"/>
    <w:rsid w:val="000E1B9C"/>
    <w:rsid w:val="000E40C0"/>
    <w:rsid w:val="000E5975"/>
    <w:rsid w:val="000E6592"/>
    <w:rsid w:val="000E6BE9"/>
    <w:rsid w:val="000F08CC"/>
    <w:rsid w:val="000F08FB"/>
    <w:rsid w:val="000F0AEE"/>
    <w:rsid w:val="000F1DCB"/>
    <w:rsid w:val="000F3A15"/>
    <w:rsid w:val="000F3A35"/>
    <w:rsid w:val="000F3F5A"/>
    <w:rsid w:val="000F41CD"/>
    <w:rsid w:val="000F487A"/>
    <w:rsid w:val="000F559A"/>
    <w:rsid w:val="000F636B"/>
    <w:rsid w:val="000F65B9"/>
    <w:rsid w:val="000F696F"/>
    <w:rsid w:val="000F7149"/>
    <w:rsid w:val="000F74F3"/>
    <w:rsid w:val="000F75FD"/>
    <w:rsid w:val="000F7D73"/>
    <w:rsid w:val="001003CF"/>
    <w:rsid w:val="00100429"/>
    <w:rsid w:val="0010067C"/>
    <w:rsid w:val="001009E5"/>
    <w:rsid w:val="00100CBB"/>
    <w:rsid w:val="00101C0C"/>
    <w:rsid w:val="00102A8B"/>
    <w:rsid w:val="00102D6F"/>
    <w:rsid w:val="00103BB5"/>
    <w:rsid w:val="00103C43"/>
    <w:rsid w:val="0010503A"/>
    <w:rsid w:val="001050F9"/>
    <w:rsid w:val="001057E6"/>
    <w:rsid w:val="00105A4F"/>
    <w:rsid w:val="00105C15"/>
    <w:rsid w:val="001060F4"/>
    <w:rsid w:val="00106BB1"/>
    <w:rsid w:val="0011033A"/>
    <w:rsid w:val="001114BE"/>
    <w:rsid w:val="00112029"/>
    <w:rsid w:val="001123CE"/>
    <w:rsid w:val="001126F0"/>
    <w:rsid w:val="00112D3A"/>
    <w:rsid w:val="00112E31"/>
    <w:rsid w:val="00113CA4"/>
    <w:rsid w:val="00114AD2"/>
    <w:rsid w:val="00116141"/>
    <w:rsid w:val="001162F1"/>
    <w:rsid w:val="00116324"/>
    <w:rsid w:val="00116FEA"/>
    <w:rsid w:val="00117189"/>
    <w:rsid w:val="00117270"/>
    <w:rsid w:val="001209D3"/>
    <w:rsid w:val="001211FA"/>
    <w:rsid w:val="00121216"/>
    <w:rsid w:val="0012126F"/>
    <w:rsid w:val="001213BD"/>
    <w:rsid w:val="00121526"/>
    <w:rsid w:val="00121992"/>
    <w:rsid w:val="001222B8"/>
    <w:rsid w:val="00122488"/>
    <w:rsid w:val="00122E60"/>
    <w:rsid w:val="00123BD4"/>
    <w:rsid w:val="00124393"/>
    <w:rsid w:val="00124472"/>
    <w:rsid w:val="001251BE"/>
    <w:rsid w:val="001258DE"/>
    <w:rsid w:val="00126350"/>
    <w:rsid w:val="00126449"/>
    <w:rsid w:val="00126D14"/>
    <w:rsid w:val="001270EB"/>
    <w:rsid w:val="00127D9F"/>
    <w:rsid w:val="00130016"/>
    <w:rsid w:val="001304AA"/>
    <w:rsid w:val="0013056C"/>
    <w:rsid w:val="001306A4"/>
    <w:rsid w:val="00132AC8"/>
    <w:rsid w:val="00133136"/>
    <w:rsid w:val="001335FE"/>
    <w:rsid w:val="001337AC"/>
    <w:rsid w:val="00134BA9"/>
    <w:rsid w:val="00135B28"/>
    <w:rsid w:val="001401FA"/>
    <w:rsid w:val="001404E2"/>
    <w:rsid w:val="0014082D"/>
    <w:rsid w:val="00140BFB"/>
    <w:rsid w:val="00141E7F"/>
    <w:rsid w:val="00142ABE"/>
    <w:rsid w:val="00142C8D"/>
    <w:rsid w:val="00143A8C"/>
    <w:rsid w:val="00145156"/>
    <w:rsid w:val="001457BA"/>
    <w:rsid w:val="001461FF"/>
    <w:rsid w:val="00147422"/>
    <w:rsid w:val="00150542"/>
    <w:rsid w:val="001506F2"/>
    <w:rsid w:val="001512DF"/>
    <w:rsid w:val="0015175A"/>
    <w:rsid w:val="0015177B"/>
    <w:rsid w:val="00151BCC"/>
    <w:rsid w:val="00152C32"/>
    <w:rsid w:val="00152E6E"/>
    <w:rsid w:val="001534AF"/>
    <w:rsid w:val="001551A4"/>
    <w:rsid w:val="001551DB"/>
    <w:rsid w:val="001556C6"/>
    <w:rsid w:val="001560BC"/>
    <w:rsid w:val="00156B19"/>
    <w:rsid w:val="00156BA5"/>
    <w:rsid w:val="001576EF"/>
    <w:rsid w:val="00160192"/>
    <w:rsid w:val="00160217"/>
    <w:rsid w:val="0016136E"/>
    <w:rsid w:val="001615B5"/>
    <w:rsid w:val="0016282C"/>
    <w:rsid w:val="001633A7"/>
    <w:rsid w:val="001637DD"/>
    <w:rsid w:val="00163895"/>
    <w:rsid w:val="00164FBB"/>
    <w:rsid w:val="0016595D"/>
    <w:rsid w:val="0016598E"/>
    <w:rsid w:val="00165A09"/>
    <w:rsid w:val="00165CD9"/>
    <w:rsid w:val="0016631E"/>
    <w:rsid w:val="00166566"/>
    <w:rsid w:val="001668B0"/>
    <w:rsid w:val="00166D30"/>
    <w:rsid w:val="00167E27"/>
    <w:rsid w:val="00171859"/>
    <w:rsid w:val="001721BD"/>
    <w:rsid w:val="001726CE"/>
    <w:rsid w:val="001731B5"/>
    <w:rsid w:val="00173680"/>
    <w:rsid w:val="00173FDA"/>
    <w:rsid w:val="00174217"/>
    <w:rsid w:val="00174EA0"/>
    <w:rsid w:val="001751D3"/>
    <w:rsid w:val="00175567"/>
    <w:rsid w:val="00175C27"/>
    <w:rsid w:val="001761EB"/>
    <w:rsid w:val="00177056"/>
    <w:rsid w:val="00177691"/>
    <w:rsid w:val="0017774A"/>
    <w:rsid w:val="00177A9A"/>
    <w:rsid w:val="00177CB0"/>
    <w:rsid w:val="00181412"/>
    <w:rsid w:val="00181677"/>
    <w:rsid w:val="00181952"/>
    <w:rsid w:val="001819B9"/>
    <w:rsid w:val="00181A6C"/>
    <w:rsid w:val="0018202F"/>
    <w:rsid w:val="00182368"/>
    <w:rsid w:val="0018311E"/>
    <w:rsid w:val="001834CA"/>
    <w:rsid w:val="00183992"/>
    <w:rsid w:val="0018433B"/>
    <w:rsid w:val="00186DB6"/>
    <w:rsid w:val="00187764"/>
    <w:rsid w:val="00187800"/>
    <w:rsid w:val="00187EEC"/>
    <w:rsid w:val="00187FD9"/>
    <w:rsid w:val="0019062D"/>
    <w:rsid w:val="00190770"/>
    <w:rsid w:val="00190FCC"/>
    <w:rsid w:val="00191356"/>
    <w:rsid w:val="001920C6"/>
    <w:rsid w:val="001926A4"/>
    <w:rsid w:val="0019301B"/>
    <w:rsid w:val="00193228"/>
    <w:rsid w:val="00193E3D"/>
    <w:rsid w:val="0019430B"/>
    <w:rsid w:val="001949C4"/>
    <w:rsid w:val="00195B05"/>
    <w:rsid w:val="00195B25"/>
    <w:rsid w:val="0019633D"/>
    <w:rsid w:val="001968A1"/>
    <w:rsid w:val="00196C21"/>
    <w:rsid w:val="00196E81"/>
    <w:rsid w:val="001A00B4"/>
    <w:rsid w:val="001A0325"/>
    <w:rsid w:val="001A055B"/>
    <w:rsid w:val="001A0A57"/>
    <w:rsid w:val="001A0F22"/>
    <w:rsid w:val="001A1D49"/>
    <w:rsid w:val="001A1E92"/>
    <w:rsid w:val="001A223F"/>
    <w:rsid w:val="001A2456"/>
    <w:rsid w:val="001A27EC"/>
    <w:rsid w:val="001A2C8B"/>
    <w:rsid w:val="001A301C"/>
    <w:rsid w:val="001A3CC8"/>
    <w:rsid w:val="001A4127"/>
    <w:rsid w:val="001A4C00"/>
    <w:rsid w:val="001A538D"/>
    <w:rsid w:val="001A54BE"/>
    <w:rsid w:val="001A5AC2"/>
    <w:rsid w:val="001A6117"/>
    <w:rsid w:val="001A6450"/>
    <w:rsid w:val="001A7ABE"/>
    <w:rsid w:val="001A7B17"/>
    <w:rsid w:val="001B0047"/>
    <w:rsid w:val="001B0817"/>
    <w:rsid w:val="001B0AE0"/>
    <w:rsid w:val="001B0E5F"/>
    <w:rsid w:val="001B0F90"/>
    <w:rsid w:val="001B17D3"/>
    <w:rsid w:val="001B1D4C"/>
    <w:rsid w:val="001B2241"/>
    <w:rsid w:val="001B298F"/>
    <w:rsid w:val="001B3A5F"/>
    <w:rsid w:val="001B3A83"/>
    <w:rsid w:val="001B471D"/>
    <w:rsid w:val="001B493D"/>
    <w:rsid w:val="001B4B1A"/>
    <w:rsid w:val="001B53B3"/>
    <w:rsid w:val="001C011D"/>
    <w:rsid w:val="001C0B91"/>
    <w:rsid w:val="001C0F03"/>
    <w:rsid w:val="001C1C82"/>
    <w:rsid w:val="001C25D7"/>
    <w:rsid w:val="001C2F74"/>
    <w:rsid w:val="001C354A"/>
    <w:rsid w:val="001C375E"/>
    <w:rsid w:val="001C395C"/>
    <w:rsid w:val="001C4CF4"/>
    <w:rsid w:val="001C591A"/>
    <w:rsid w:val="001C5D74"/>
    <w:rsid w:val="001C6062"/>
    <w:rsid w:val="001C611E"/>
    <w:rsid w:val="001C6583"/>
    <w:rsid w:val="001C7A73"/>
    <w:rsid w:val="001D01A9"/>
    <w:rsid w:val="001D0B71"/>
    <w:rsid w:val="001D25BC"/>
    <w:rsid w:val="001D3906"/>
    <w:rsid w:val="001D3986"/>
    <w:rsid w:val="001D3E62"/>
    <w:rsid w:val="001D3F83"/>
    <w:rsid w:val="001D4022"/>
    <w:rsid w:val="001D4099"/>
    <w:rsid w:val="001D42FC"/>
    <w:rsid w:val="001D48B8"/>
    <w:rsid w:val="001D4972"/>
    <w:rsid w:val="001D4AAB"/>
    <w:rsid w:val="001D4CB7"/>
    <w:rsid w:val="001D51AF"/>
    <w:rsid w:val="001D61BF"/>
    <w:rsid w:val="001D6489"/>
    <w:rsid w:val="001D6D0D"/>
    <w:rsid w:val="001D70D6"/>
    <w:rsid w:val="001D71D0"/>
    <w:rsid w:val="001D791D"/>
    <w:rsid w:val="001E0375"/>
    <w:rsid w:val="001E1296"/>
    <w:rsid w:val="001E165F"/>
    <w:rsid w:val="001E2B04"/>
    <w:rsid w:val="001E2BC8"/>
    <w:rsid w:val="001E32AE"/>
    <w:rsid w:val="001E35CE"/>
    <w:rsid w:val="001E3847"/>
    <w:rsid w:val="001E38BA"/>
    <w:rsid w:val="001E3A4D"/>
    <w:rsid w:val="001E3D73"/>
    <w:rsid w:val="001E4563"/>
    <w:rsid w:val="001E5036"/>
    <w:rsid w:val="001E508F"/>
    <w:rsid w:val="001E50E4"/>
    <w:rsid w:val="001E5F3D"/>
    <w:rsid w:val="001E615A"/>
    <w:rsid w:val="001E72E4"/>
    <w:rsid w:val="001E74B5"/>
    <w:rsid w:val="001E7A0D"/>
    <w:rsid w:val="001E7B1C"/>
    <w:rsid w:val="001E7C59"/>
    <w:rsid w:val="001F037F"/>
    <w:rsid w:val="001F0783"/>
    <w:rsid w:val="001F0820"/>
    <w:rsid w:val="001F0A48"/>
    <w:rsid w:val="001F102A"/>
    <w:rsid w:val="001F1AD8"/>
    <w:rsid w:val="001F1C04"/>
    <w:rsid w:val="001F2C18"/>
    <w:rsid w:val="001F2F1C"/>
    <w:rsid w:val="001F459A"/>
    <w:rsid w:val="001F5583"/>
    <w:rsid w:val="001F5CF8"/>
    <w:rsid w:val="001F66A2"/>
    <w:rsid w:val="001F746E"/>
    <w:rsid w:val="001F7AB7"/>
    <w:rsid w:val="001F7BA0"/>
    <w:rsid w:val="002006B8"/>
    <w:rsid w:val="00201AF3"/>
    <w:rsid w:val="0020342F"/>
    <w:rsid w:val="0020523F"/>
    <w:rsid w:val="00205DD3"/>
    <w:rsid w:val="00206033"/>
    <w:rsid w:val="0020705E"/>
    <w:rsid w:val="002072EB"/>
    <w:rsid w:val="002100F1"/>
    <w:rsid w:val="0021108F"/>
    <w:rsid w:val="00211202"/>
    <w:rsid w:val="002112DB"/>
    <w:rsid w:val="002112FF"/>
    <w:rsid w:val="002125A7"/>
    <w:rsid w:val="00212D17"/>
    <w:rsid w:val="002130FB"/>
    <w:rsid w:val="00213887"/>
    <w:rsid w:val="00213D91"/>
    <w:rsid w:val="00213F73"/>
    <w:rsid w:val="002143CD"/>
    <w:rsid w:val="00214D5B"/>
    <w:rsid w:val="002156BB"/>
    <w:rsid w:val="002162CB"/>
    <w:rsid w:val="0021724B"/>
    <w:rsid w:val="00217802"/>
    <w:rsid w:val="00217B5D"/>
    <w:rsid w:val="00220315"/>
    <w:rsid w:val="00220AE8"/>
    <w:rsid w:val="00220B12"/>
    <w:rsid w:val="00221822"/>
    <w:rsid w:val="00221AB4"/>
    <w:rsid w:val="002220E4"/>
    <w:rsid w:val="00222334"/>
    <w:rsid w:val="00222386"/>
    <w:rsid w:val="002227B3"/>
    <w:rsid w:val="00223539"/>
    <w:rsid w:val="002235A3"/>
    <w:rsid w:val="00224185"/>
    <w:rsid w:val="002241E1"/>
    <w:rsid w:val="00224441"/>
    <w:rsid w:val="00224643"/>
    <w:rsid w:val="00224BEC"/>
    <w:rsid w:val="00225296"/>
    <w:rsid w:val="00225C11"/>
    <w:rsid w:val="00225E9C"/>
    <w:rsid w:val="00226795"/>
    <w:rsid w:val="00226AAF"/>
    <w:rsid w:val="00226E7F"/>
    <w:rsid w:val="0022745E"/>
    <w:rsid w:val="00227993"/>
    <w:rsid w:val="002279A6"/>
    <w:rsid w:val="00230D59"/>
    <w:rsid w:val="00231042"/>
    <w:rsid w:val="0023121C"/>
    <w:rsid w:val="00231C3F"/>
    <w:rsid w:val="002322BD"/>
    <w:rsid w:val="002324C5"/>
    <w:rsid w:val="00232876"/>
    <w:rsid w:val="00233E34"/>
    <w:rsid w:val="00233E51"/>
    <w:rsid w:val="00234171"/>
    <w:rsid w:val="00234851"/>
    <w:rsid w:val="00235D79"/>
    <w:rsid w:val="00235E6A"/>
    <w:rsid w:val="00236549"/>
    <w:rsid w:val="002367FB"/>
    <w:rsid w:val="00236818"/>
    <w:rsid w:val="00236900"/>
    <w:rsid w:val="00237D72"/>
    <w:rsid w:val="002404BD"/>
    <w:rsid w:val="00240FBC"/>
    <w:rsid w:val="00241450"/>
    <w:rsid w:val="00242002"/>
    <w:rsid w:val="0024210D"/>
    <w:rsid w:val="002426A9"/>
    <w:rsid w:val="00243B19"/>
    <w:rsid w:val="00244414"/>
    <w:rsid w:val="0024498D"/>
    <w:rsid w:val="00244CCC"/>
    <w:rsid w:val="00244F11"/>
    <w:rsid w:val="00244F94"/>
    <w:rsid w:val="002453CC"/>
    <w:rsid w:val="002464EE"/>
    <w:rsid w:val="00246D92"/>
    <w:rsid w:val="0024788B"/>
    <w:rsid w:val="00250CB4"/>
    <w:rsid w:val="00252B49"/>
    <w:rsid w:val="0025383C"/>
    <w:rsid w:val="00253F94"/>
    <w:rsid w:val="00254796"/>
    <w:rsid w:val="00254823"/>
    <w:rsid w:val="00254D80"/>
    <w:rsid w:val="002552CE"/>
    <w:rsid w:val="002556B7"/>
    <w:rsid w:val="002557C5"/>
    <w:rsid w:val="00256118"/>
    <w:rsid w:val="0025654C"/>
    <w:rsid w:val="002565C4"/>
    <w:rsid w:val="002565DB"/>
    <w:rsid w:val="0025677A"/>
    <w:rsid w:val="0025695B"/>
    <w:rsid w:val="00257429"/>
    <w:rsid w:val="002576CB"/>
    <w:rsid w:val="002579CC"/>
    <w:rsid w:val="002608FD"/>
    <w:rsid w:val="002613CF"/>
    <w:rsid w:val="0026218E"/>
    <w:rsid w:val="002621E5"/>
    <w:rsid w:val="00262D59"/>
    <w:rsid w:val="00263139"/>
    <w:rsid w:val="00263372"/>
    <w:rsid w:val="0026373B"/>
    <w:rsid w:val="00263C46"/>
    <w:rsid w:val="00263CFE"/>
    <w:rsid w:val="002647DF"/>
    <w:rsid w:val="00265CC6"/>
    <w:rsid w:val="002667A1"/>
    <w:rsid w:val="0026696D"/>
    <w:rsid w:val="00266F0D"/>
    <w:rsid w:val="00267AEE"/>
    <w:rsid w:val="00267EE3"/>
    <w:rsid w:val="002707E1"/>
    <w:rsid w:val="00270BDD"/>
    <w:rsid w:val="00270DA8"/>
    <w:rsid w:val="00271685"/>
    <w:rsid w:val="002718FF"/>
    <w:rsid w:val="00271CFF"/>
    <w:rsid w:val="002721AB"/>
    <w:rsid w:val="0027416F"/>
    <w:rsid w:val="002751D8"/>
    <w:rsid w:val="0027573A"/>
    <w:rsid w:val="00276AFA"/>
    <w:rsid w:val="002809F3"/>
    <w:rsid w:val="0028122C"/>
    <w:rsid w:val="002816EB"/>
    <w:rsid w:val="00281953"/>
    <w:rsid w:val="002822F7"/>
    <w:rsid w:val="00282B6B"/>
    <w:rsid w:val="002831E1"/>
    <w:rsid w:val="0028424D"/>
    <w:rsid w:val="00284D28"/>
    <w:rsid w:val="0028564A"/>
    <w:rsid w:val="002859FB"/>
    <w:rsid w:val="00285E19"/>
    <w:rsid w:val="002867A0"/>
    <w:rsid w:val="00286A03"/>
    <w:rsid w:val="00286B10"/>
    <w:rsid w:val="0028704F"/>
    <w:rsid w:val="00287141"/>
    <w:rsid w:val="00287B16"/>
    <w:rsid w:val="00287F1C"/>
    <w:rsid w:val="002907A4"/>
    <w:rsid w:val="0029084C"/>
    <w:rsid w:val="00290B62"/>
    <w:rsid w:val="00291D9E"/>
    <w:rsid w:val="00291F71"/>
    <w:rsid w:val="0029214A"/>
    <w:rsid w:val="002923CA"/>
    <w:rsid w:val="002926B8"/>
    <w:rsid w:val="00293052"/>
    <w:rsid w:val="00293443"/>
    <w:rsid w:val="00293F2C"/>
    <w:rsid w:val="002940AC"/>
    <w:rsid w:val="00294498"/>
    <w:rsid w:val="00294815"/>
    <w:rsid w:val="00294D8E"/>
    <w:rsid w:val="002956AC"/>
    <w:rsid w:val="002958C3"/>
    <w:rsid w:val="00295959"/>
    <w:rsid w:val="002A0843"/>
    <w:rsid w:val="002A0BD5"/>
    <w:rsid w:val="002A0CD0"/>
    <w:rsid w:val="002A13E6"/>
    <w:rsid w:val="002A1A66"/>
    <w:rsid w:val="002A3B24"/>
    <w:rsid w:val="002A4926"/>
    <w:rsid w:val="002A6AC5"/>
    <w:rsid w:val="002A6E9B"/>
    <w:rsid w:val="002A6F3C"/>
    <w:rsid w:val="002A7B61"/>
    <w:rsid w:val="002B04FD"/>
    <w:rsid w:val="002B08CB"/>
    <w:rsid w:val="002B1026"/>
    <w:rsid w:val="002B114B"/>
    <w:rsid w:val="002B2521"/>
    <w:rsid w:val="002B2AC2"/>
    <w:rsid w:val="002B2ADC"/>
    <w:rsid w:val="002B2CEB"/>
    <w:rsid w:val="002B3AB3"/>
    <w:rsid w:val="002B3BBD"/>
    <w:rsid w:val="002B4FD5"/>
    <w:rsid w:val="002B5566"/>
    <w:rsid w:val="002B5F0E"/>
    <w:rsid w:val="002B640A"/>
    <w:rsid w:val="002B778D"/>
    <w:rsid w:val="002B7AA5"/>
    <w:rsid w:val="002C0E16"/>
    <w:rsid w:val="002C2559"/>
    <w:rsid w:val="002C3306"/>
    <w:rsid w:val="002C33D8"/>
    <w:rsid w:val="002C3EA1"/>
    <w:rsid w:val="002C4E0A"/>
    <w:rsid w:val="002C6011"/>
    <w:rsid w:val="002C6FA6"/>
    <w:rsid w:val="002C7A6F"/>
    <w:rsid w:val="002C7BF7"/>
    <w:rsid w:val="002C7EBD"/>
    <w:rsid w:val="002C7EF8"/>
    <w:rsid w:val="002D114E"/>
    <w:rsid w:val="002D149B"/>
    <w:rsid w:val="002D1E5A"/>
    <w:rsid w:val="002D1EFF"/>
    <w:rsid w:val="002D2246"/>
    <w:rsid w:val="002D24DE"/>
    <w:rsid w:val="002D321D"/>
    <w:rsid w:val="002D3277"/>
    <w:rsid w:val="002D34FE"/>
    <w:rsid w:val="002D3E94"/>
    <w:rsid w:val="002D4334"/>
    <w:rsid w:val="002D476B"/>
    <w:rsid w:val="002D4A0B"/>
    <w:rsid w:val="002D4C58"/>
    <w:rsid w:val="002D5605"/>
    <w:rsid w:val="002D5E4F"/>
    <w:rsid w:val="002D63BD"/>
    <w:rsid w:val="002D6400"/>
    <w:rsid w:val="002D65BD"/>
    <w:rsid w:val="002D6CCB"/>
    <w:rsid w:val="002D6DFB"/>
    <w:rsid w:val="002D7A52"/>
    <w:rsid w:val="002E1EB5"/>
    <w:rsid w:val="002E1F82"/>
    <w:rsid w:val="002E219F"/>
    <w:rsid w:val="002E25AB"/>
    <w:rsid w:val="002E2CC0"/>
    <w:rsid w:val="002E2E53"/>
    <w:rsid w:val="002E3895"/>
    <w:rsid w:val="002E3DBE"/>
    <w:rsid w:val="002E44E4"/>
    <w:rsid w:val="002E4A62"/>
    <w:rsid w:val="002E5F49"/>
    <w:rsid w:val="002E5F94"/>
    <w:rsid w:val="002E6291"/>
    <w:rsid w:val="002E632A"/>
    <w:rsid w:val="002E6EF7"/>
    <w:rsid w:val="002E7474"/>
    <w:rsid w:val="002E7611"/>
    <w:rsid w:val="002F02E1"/>
    <w:rsid w:val="002F074C"/>
    <w:rsid w:val="002F10FA"/>
    <w:rsid w:val="002F1EA1"/>
    <w:rsid w:val="002F222B"/>
    <w:rsid w:val="002F2B59"/>
    <w:rsid w:val="002F2DE4"/>
    <w:rsid w:val="002F36F6"/>
    <w:rsid w:val="002F5ABA"/>
    <w:rsid w:val="002F6ADF"/>
    <w:rsid w:val="002F752B"/>
    <w:rsid w:val="002F7882"/>
    <w:rsid w:val="002F7AFA"/>
    <w:rsid w:val="002F7E3E"/>
    <w:rsid w:val="0030028B"/>
    <w:rsid w:val="00300BA3"/>
    <w:rsid w:val="003012AD"/>
    <w:rsid w:val="0030164B"/>
    <w:rsid w:val="00303508"/>
    <w:rsid w:val="00303917"/>
    <w:rsid w:val="00303A96"/>
    <w:rsid w:val="00303BA8"/>
    <w:rsid w:val="00303BBC"/>
    <w:rsid w:val="003051A2"/>
    <w:rsid w:val="00305AC8"/>
    <w:rsid w:val="003061D9"/>
    <w:rsid w:val="00306908"/>
    <w:rsid w:val="00306D6A"/>
    <w:rsid w:val="003071EC"/>
    <w:rsid w:val="0031000A"/>
    <w:rsid w:val="003106A9"/>
    <w:rsid w:val="00310BF1"/>
    <w:rsid w:val="00310D99"/>
    <w:rsid w:val="0031195D"/>
    <w:rsid w:val="003140FC"/>
    <w:rsid w:val="0031431E"/>
    <w:rsid w:val="00314963"/>
    <w:rsid w:val="003159CA"/>
    <w:rsid w:val="00316684"/>
    <w:rsid w:val="003166FD"/>
    <w:rsid w:val="00316911"/>
    <w:rsid w:val="003176CF"/>
    <w:rsid w:val="00317990"/>
    <w:rsid w:val="00317E8E"/>
    <w:rsid w:val="00320740"/>
    <w:rsid w:val="00320782"/>
    <w:rsid w:val="003207E7"/>
    <w:rsid w:val="00320BC0"/>
    <w:rsid w:val="00320F2C"/>
    <w:rsid w:val="003218DA"/>
    <w:rsid w:val="003219A0"/>
    <w:rsid w:val="00321F5B"/>
    <w:rsid w:val="00322720"/>
    <w:rsid w:val="003230FB"/>
    <w:rsid w:val="00323118"/>
    <w:rsid w:val="0032312B"/>
    <w:rsid w:val="003247DB"/>
    <w:rsid w:val="00327975"/>
    <w:rsid w:val="003279F5"/>
    <w:rsid w:val="00327E80"/>
    <w:rsid w:val="0033049E"/>
    <w:rsid w:val="003311D6"/>
    <w:rsid w:val="00331D5F"/>
    <w:rsid w:val="00331DBE"/>
    <w:rsid w:val="00332965"/>
    <w:rsid w:val="00332A40"/>
    <w:rsid w:val="00332FE1"/>
    <w:rsid w:val="00333383"/>
    <w:rsid w:val="003342E5"/>
    <w:rsid w:val="00334525"/>
    <w:rsid w:val="0033478C"/>
    <w:rsid w:val="00334E32"/>
    <w:rsid w:val="00335AEC"/>
    <w:rsid w:val="00335D1F"/>
    <w:rsid w:val="003363DF"/>
    <w:rsid w:val="00336A80"/>
    <w:rsid w:val="00337465"/>
    <w:rsid w:val="00337ACA"/>
    <w:rsid w:val="003408EF"/>
    <w:rsid w:val="0034112D"/>
    <w:rsid w:val="003417D6"/>
    <w:rsid w:val="0034190A"/>
    <w:rsid w:val="00341AB8"/>
    <w:rsid w:val="00341BD5"/>
    <w:rsid w:val="003425F0"/>
    <w:rsid w:val="00342849"/>
    <w:rsid w:val="00342B7B"/>
    <w:rsid w:val="00343808"/>
    <w:rsid w:val="00344FC0"/>
    <w:rsid w:val="003453A0"/>
    <w:rsid w:val="0034572E"/>
    <w:rsid w:val="00345C13"/>
    <w:rsid w:val="0034631F"/>
    <w:rsid w:val="00350479"/>
    <w:rsid w:val="003506B3"/>
    <w:rsid w:val="00350A96"/>
    <w:rsid w:val="00350F55"/>
    <w:rsid w:val="003514F0"/>
    <w:rsid w:val="00352BA9"/>
    <w:rsid w:val="00353C83"/>
    <w:rsid w:val="0035402D"/>
    <w:rsid w:val="003557C1"/>
    <w:rsid w:val="00355A1F"/>
    <w:rsid w:val="0035668E"/>
    <w:rsid w:val="00360DEE"/>
    <w:rsid w:val="00362102"/>
    <w:rsid w:val="00362A9E"/>
    <w:rsid w:val="003635C7"/>
    <w:rsid w:val="003640BD"/>
    <w:rsid w:val="003646A7"/>
    <w:rsid w:val="00364782"/>
    <w:rsid w:val="00364BE9"/>
    <w:rsid w:val="00364CEE"/>
    <w:rsid w:val="00365E23"/>
    <w:rsid w:val="003672E6"/>
    <w:rsid w:val="00367F22"/>
    <w:rsid w:val="00367F2D"/>
    <w:rsid w:val="00371B56"/>
    <w:rsid w:val="00371BF9"/>
    <w:rsid w:val="00372914"/>
    <w:rsid w:val="00373DDF"/>
    <w:rsid w:val="003743E7"/>
    <w:rsid w:val="00374EDB"/>
    <w:rsid w:val="003756D9"/>
    <w:rsid w:val="003768EC"/>
    <w:rsid w:val="00376AEE"/>
    <w:rsid w:val="00377F76"/>
    <w:rsid w:val="00380020"/>
    <w:rsid w:val="0038012B"/>
    <w:rsid w:val="00380EE2"/>
    <w:rsid w:val="003824BA"/>
    <w:rsid w:val="0038261F"/>
    <w:rsid w:val="00383034"/>
    <w:rsid w:val="003832D5"/>
    <w:rsid w:val="003843EF"/>
    <w:rsid w:val="00385511"/>
    <w:rsid w:val="003855E5"/>
    <w:rsid w:val="003860A2"/>
    <w:rsid w:val="00386DD3"/>
    <w:rsid w:val="00386DDE"/>
    <w:rsid w:val="00387003"/>
    <w:rsid w:val="0038720B"/>
    <w:rsid w:val="0038786C"/>
    <w:rsid w:val="00387B0C"/>
    <w:rsid w:val="00387D9A"/>
    <w:rsid w:val="00390979"/>
    <w:rsid w:val="00391242"/>
    <w:rsid w:val="0039152A"/>
    <w:rsid w:val="003915F4"/>
    <w:rsid w:val="0039179B"/>
    <w:rsid w:val="00391A6C"/>
    <w:rsid w:val="00391F78"/>
    <w:rsid w:val="00392588"/>
    <w:rsid w:val="00392F29"/>
    <w:rsid w:val="0039332A"/>
    <w:rsid w:val="00393A32"/>
    <w:rsid w:val="00394439"/>
    <w:rsid w:val="0039597B"/>
    <w:rsid w:val="00395F72"/>
    <w:rsid w:val="00395FE4"/>
    <w:rsid w:val="003960F9"/>
    <w:rsid w:val="00396516"/>
    <w:rsid w:val="003965AB"/>
    <w:rsid w:val="00396DB1"/>
    <w:rsid w:val="003970A3"/>
    <w:rsid w:val="0039752E"/>
    <w:rsid w:val="003978AE"/>
    <w:rsid w:val="003A03CE"/>
    <w:rsid w:val="003A052D"/>
    <w:rsid w:val="003A0CA4"/>
    <w:rsid w:val="003A126D"/>
    <w:rsid w:val="003A15A7"/>
    <w:rsid w:val="003A1A08"/>
    <w:rsid w:val="003A1FB9"/>
    <w:rsid w:val="003A2775"/>
    <w:rsid w:val="003A3DAB"/>
    <w:rsid w:val="003A41BE"/>
    <w:rsid w:val="003A4C0B"/>
    <w:rsid w:val="003A67EA"/>
    <w:rsid w:val="003A696E"/>
    <w:rsid w:val="003A774E"/>
    <w:rsid w:val="003A79AE"/>
    <w:rsid w:val="003A7EC2"/>
    <w:rsid w:val="003B02A3"/>
    <w:rsid w:val="003B08D0"/>
    <w:rsid w:val="003B15F5"/>
    <w:rsid w:val="003B2B11"/>
    <w:rsid w:val="003B2FF7"/>
    <w:rsid w:val="003B3A4E"/>
    <w:rsid w:val="003B3DCA"/>
    <w:rsid w:val="003B3E53"/>
    <w:rsid w:val="003B50FE"/>
    <w:rsid w:val="003B5F21"/>
    <w:rsid w:val="003B65E8"/>
    <w:rsid w:val="003B74E8"/>
    <w:rsid w:val="003B7D78"/>
    <w:rsid w:val="003C04E1"/>
    <w:rsid w:val="003C0C6A"/>
    <w:rsid w:val="003C121C"/>
    <w:rsid w:val="003C1749"/>
    <w:rsid w:val="003C1CAB"/>
    <w:rsid w:val="003C1EEF"/>
    <w:rsid w:val="003C2256"/>
    <w:rsid w:val="003C2554"/>
    <w:rsid w:val="003C2BA5"/>
    <w:rsid w:val="003C38DF"/>
    <w:rsid w:val="003C3DDC"/>
    <w:rsid w:val="003C3E05"/>
    <w:rsid w:val="003C3F30"/>
    <w:rsid w:val="003C3F89"/>
    <w:rsid w:val="003C40F8"/>
    <w:rsid w:val="003C4382"/>
    <w:rsid w:val="003C4388"/>
    <w:rsid w:val="003C45E2"/>
    <w:rsid w:val="003C4A14"/>
    <w:rsid w:val="003C528D"/>
    <w:rsid w:val="003C5340"/>
    <w:rsid w:val="003C5430"/>
    <w:rsid w:val="003C57DC"/>
    <w:rsid w:val="003C5C29"/>
    <w:rsid w:val="003C612D"/>
    <w:rsid w:val="003C6176"/>
    <w:rsid w:val="003C67DC"/>
    <w:rsid w:val="003C67EF"/>
    <w:rsid w:val="003C750C"/>
    <w:rsid w:val="003C78B1"/>
    <w:rsid w:val="003D103F"/>
    <w:rsid w:val="003D11ED"/>
    <w:rsid w:val="003D1521"/>
    <w:rsid w:val="003D1851"/>
    <w:rsid w:val="003D23B7"/>
    <w:rsid w:val="003D2B47"/>
    <w:rsid w:val="003D326B"/>
    <w:rsid w:val="003D33D4"/>
    <w:rsid w:val="003D4004"/>
    <w:rsid w:val="003D4FB9"/>
    <w:rsid w:val="003D553D"/>
    <w:rsid w:val="003D587D"/>
    <w:rsid w:val="003D5952"/>
    <w:rsid w:val="003D5A30"/>
    <w:rsid w:val="003D6BFB"/>
    <w:rsid w:val="003D6E11"/>
    <w:rsid w:val="003D7135"/>
    <w:rsid w:val="003D7CB2"/>
    <w:rsid w:val="003E022B"/>
    <w:rsid w:val="003E067D"/>
    <w:rsid w:val="003E0CA3"/>
    <w:rsid w:val="003E137D"/>
    <w:rsid w:val="003E14DA"/>
    <w:rsid w:val="003E1C58"/>
    <w:rsid w:val="003E1DC1"/>
    <w:rsid w:val="003E29FE"/>
    <w:rsid w:val="003E2E6E"/>
    <w:rsid w:val="003E357C"/>
    <w:rsid w:val="003E377A"/>
    <w:rsid w:val="003E3D4D"/>
    <w:rsid w:val="003E4181"/>
    <w:rsid w:val="003E45C6"/>
    <w:rsid w:val="003E47F2"/>
    <w:rsid w:val="003E5EED"/>
    <w:rsid w:val="003E6A07"/>
    <w:rsid w:val="003E6C60"/>
    <w:rsid w:val="003E75D1"/>
    <w:rsid w:val="003F0D1C"/>
    <w:rsid w:val="003F16D6"/>
    <w:rsid w:val="003F266B"/>
    <w:rsid w:val="003F2897"/>
    <w:rsid w:val="003F2EBB"/>
    <w:rsid w:val="003F4425"/>
    <w:rsid w:val="003F4937"/>
    <w:rsid w:val="003F4CB3"/>
    <w:rsid w:val="003F5218"/>
    <w:rsid w:val="003F58AF"/>
    <w:rsid w:val="003F59C2"/>
    <w:rsid w:val="003F5BBB"/>
    <w:rsid w:val="003F5F02"/>
    <w:rsid w:val="003F6B85"/>
    <w:rsid w:val="003F7CDC"/>
    <w:rsid w:val="004008DF"/>
    <w:rsid w:val="00401A6D"/>
    <w:rsid w:val="00401EF3"/>
    <w:rsid w:val="00402013"/>
    <w:rsid w:val="0040215F"/>
    <w:rsid w:val="004021C3"/>
    <w:rsid w:val="004026CF"/>
    <w:rsid w:val="004029D4"/>
    <w:rsid w:val="004048E8"/>
    <w:rsid w:val="00404E0E"/>
    <w:rsid w:val="00405D92"/>
    <w:rsid w:val="00405F55"/>
    <w:rsid w:val="00405FD9"/>
    <w:rsid w:val="0040634B"/>
    <w:rsid w:val="004103E9"/>
    <w:rsid w:val="00410BA6"/>
    <w:rsid w:val="00410F29"/>
    <w:rsid w:val="00411439"/>
    <w:rsid w:val="00412EB1"/>
    <w:rsid w:val="00412F27"/>
    <w:rsid w:val="004131B0"/>
    <w:rsid w:val="00413C18"/>
    <w:rsid w:val="00413D67"/>
    <w:rsid w:val="004142D1"/>
    <w:rsid w:val="00414585"/>
    <w:rsid w:val="00414B2A"/>
    <w:rsid w:val="00415131"/>
    <w:rsid w:val="004152A9"/>
    <w:rsid w:val="00415309"/>
    <w:rsid w:val="00415878"/>
    <w:rsid w:val="004166F8"/>
    <w:rsid w:val="0041693D"/>
    <w:rsid w:val="004169E7"/>
    <w:rsid w:val="00416B61"/>
    <w:rsid w:val="00416C04"/>
    <w:rsid w:val="00416D08"/>
    <w:rsid w:val="004178A0"/>
    <w:rsid w:val="00417B84"/>
    <w:rsid w:val="004212D6"/>
    <w:rsid w:val="0042134C"/>
    <w:rsid w:val="00421833"/>
    <w:rsid w:val="00421D69"/>
    <w:rsid w:val="004221DF"/>
    <w:rsid w:val="0042223A"/>
    <w:rsid w:val="0042299F"/>
    <w:rsid w:val="0042327F"/>
    <w:rsid w:val="00423288"/>
    <w:rsid w:val="00423B63"/>
    <w:rsid w:val="00424025"/>
    <w:rsid w:val="00424ECF"/>
    <w:rsid w:val="004252FD"/>
    <w:rsid w:val="004253C9"/>
    <w:rsid w:val="00425DB0"/>
    <w:rsid w:val="00425FAB"/>
    <w:rsid w:val="00426932"/>
    <w:rsid w:val="0043011D"/>
    <w:rsid w:val="004309E6"/>
    <w:rsid w:val="00430CCF"/>
    <w:rsid w:val="0043158A"/>
    <w:rsid w:val="004318E1"/>
    <w:rsid w:val="00431D43"/>
    <w:rsid w:val="00431E4B"/>
    <w:rsid w:val="00433381"/>
    <w:rsid w:val="00433871"/>
    <w:rsid w:val="00433951"/>
    <w:rsid w:val="004340C5"/>
    <w:rsid w:val="00434EAF"/>
    <w:rsid w:val="004350D4"/>
    <w:rsid w:val="004371C2"/>
    <w:rsid w:val="0043789B"/>
    <w:rsid w:val="00437AA5"/>
    <w:rsid w:val="004400AF"/>
    <w:rsid w:val="00440DB0"/>
    <w:rsid w:val="00441865"/>
    <w:rsid w:val="0044313E"/>
    <w:rsid w:val="00443B90"/>
    <w:rsid w:val="00444144"/>
    <w:rsid w:val="004442A9"/>
    <w:rsid w:val="0044450E"/>
    <w:rsid w:val="00444586"/>
    <w:rsid w:val="00444B89"/>
    <w:rsid w:val="00444F7B"/>
    <w:rsid w:val="00445530"/>
    <w:rsid w:val="004455E5"/>
    <w:rsid w:val="00445A34"/>
    <w:rsid w:val="004469B0"/>
    <w:rsid w:val="00447187"/>
    <w:rsid w:val="00450409"/>
    <w:rsid w:val="0045076A"/>
    <w:rsid w:val="00450793"/>
    <w:rsid w:val="004523B9"/>
    <w:rsid w:val="004524C1"/>
    <w:rsid w:val="004532A6"/>
    <w:rsid w:val="00453396"/>
    <w:rsid w:val="00453462"/>
    <w:rsid w:val="004534F4"/>
    <w:rsid w:val="00453D02"/>
    <w:rsid w:val="00454B26"/>
    <w:rsid w:val="00455554"/>
    <w:rsid w:val="00455660"/>
    <w:rsid w:val="0045608F"/>
    <w:rsid w:val="004561DD"/>
    <w:rsid w:val="00457095"/>
    <w:rsid w:val="0045760C"/>
    <w:rsid w:val="0045783E"/>
    <w:rsid w:val="00460255"/>
    <w:rsid w:val="004603B7"/>
    <w:rsid w:val="00460F40"/>
    <w:rsid w:val="00461549"/>
    <w:rsid w:val="00461F4A"/>
    <w:rsid w:val="00462493"/>
    <w:rsid w:val="00463265"/>
    <w:rsid w:val="00463478"/>
    <w:rsid w:val="004639BB"/>
    <w:rsid w:val="00463BB3"/>
    <w:rsid w:val="004645BD"/>
    <w:rsid w:val="00464BA0"/>
    <w:rsid w:val="00464BA7"/>
    <w:rsid w:val="00465362"/>
    <w:rsid w:val="00465B70"/>
    <w:rsid w:val="0046676C"/>
    <w:rsid w:val="0046744D"/>
    <w:rsid w:val="004676FC"/>
    <w:rsid w:val="00467E07"/>
    <w:rsid w:val="0047087B"/>
    <w:rsid w:val="0047234C"/>
    <w:rsid w:val="0047245C"/>
    <w:rsid w:val="00472672"/>
    <w:rsid w:val="00472C84"/>
    <w:rsid w:val="0047600B"/>
    <w:rsid w:val="00476023"/>
    <w:rsid w:val="00476086"/>
    <w:rsid w:val="004769EB"/>
    <w:rsid w:val="00476DBB"/>
    <w:rsid w:val="00477379"/>
    <w:rsid w:val="00477AA1"/>
    <w:rsid w:val="00477AF6"/>
    <w:rsid w:val="004808F7"/>
    <w:rsid w:val="00480997"/>
    <w:rsid w:val="0048109C"/>
    <w:rsid w:val="00481115"/>
    <w:rsid w:val="00481F51"/>
    <w:rsid w:val="00482034"/>
    <w:rsid w:val="00482519"/>
    <w:rsid w:val="00483428"/>
    <w:rsid w:val="004846EB"/>
    <w:rsid w:val="004852F4"/>
    <w:rsid w:val="00485AEE"/>
    <w:rsid w:val="00485F39"/>
    <w:rsid w:val="00486593"/>
    <w:rsid w:val="00486D2E"/>
    <w:rsid w:val="004878A5"/>
    <w:rsid w:val="00490063"/>
    <w:rsid w:val="004906F6"/>
    <w:rsid w:val="00492240"/>
    <w:rsid w:val="004935F9"/>
    <w:rsid w:val="00493CFA"/>
    <w:rsid w:val="004947B8"/>
    <w:rsid w:val="004949A3"/>
    <w:rsid w:val="004956EA"/>
    <w:rsid w:val="00496778"/>
    <w:rsid w:val="00496E68"/>
    <w:rsid w:val="004972F2"/>
    <w:rsid w:val="0049775E"/>
    <w:rsid w:val="0049788B"/>
    <w:rsid w:val="00497986"/>
    <w:rsid w:val="00497F97"/>
    <w:rsid w:val="004A137D"/>
    <w:rsid w:val="004A17FF"/>
    <w:rsid w:val="004A1D7C"/>
    <w:rsid w:val="004A247D"/>
    <w:rsid w:val="004A2E11"/>
    <w:rsid w:val="004A2FAC"/>
    <w:rsid w:val="004A2FB2"/>
    <w:rsid w:val="004A4321"/>
    <w:rsid w:val="004A5B02"/>
    <w:rsid w:val="004A6318"/>
    <w:rsid w:val="004A6422"/>
    <w:rsid w:val="004A691A"/>
    <w:rsid w:val="004A6AF0"/>
    <w:rsid w:val="004A6D14"/>
    <w:rsid w:val="004A76C3"/>
    <w:rsid w:val="004B005D"/>
    <w:rsid w:val="004B1B62"/>
    <w:rsid w:val="004B2061"/>
    <w:rsid w:val="004B2398"/>
    <w:rsid w:val="004B2989"/>
    <w:rsid w:val="004B33EF"/>
    <w:rsid w:val="004B366C"/>
    <w:rsid w:val="004B37A4"/>
    <w:rsid w:val="004B3E74"/>
    <w:rsid w:val="004B46F0"/>
    <w:rsid w:val="004B49BF"/>
    <w:rsid w:val="004B57FD"/>
    <w:rsid w:val="004B589A"/>
    <w:rsid w:val="004B5AE3"/>
    <w:rsid w:val="004B5C8D"/>
    <w:rsid w:val="004B67F2"/>
    <w:rsid w:val="004B71F0"/>
    <w:rsid w:val="004B745D"/>
    <w:rsid w:val="004B76EC"/>
    <w:rsid w:val="004C0AF0"/>
    <w:rsid w:val="004C0E1D"/>
    <w:rsid w:val="004C1478"/>
    <w:rsid w:val="004C1489"/>
    <w:rsid w:val="004C1C78"/>
    <w:rsid w:val="004C1E29"/>
    <w:rsid w:val="004C2626"/>
    <w:rsid w:val="004C2F97"/>
    <w:rsid w:val="004C363B"/>
    <w:rsid w:val="004C3FAF"/>
    <w:rsid w:val="004C4073"/>
    <w:rsid w:val="004C44FC"/>
    <w:rsid w:val="004C5487"/>
    <w:rsid w:val="004C6830"/>
    <w:rsid w:val="004C763C"/>
    <w:rsid w:val="004D0865"/>
    <w:rsid w:val="004D0B67"/>
    <w:rsid w:val="004D0D3B"/>
    <w:rsid w:val="004D1AFF"/>
    <w:rsid w:val="004D1F37"/>
    <w:rsid w:val="004D2A65"/>
    <w:rsid w:val="004D2B87"/>
    <w:rsid w:val="004D331A"/>
    <w:rsid w:val="004D3B4D"/>
    <w:rsid w:val="004D3F9A"/>
    <w:rsid w:val="004D4659"/>
    <w:rsid w:val="004D477B"/>
    <w:rsid w:val="004D5008"/>
    <w:rsid w:val="004D6432"/>
    <w:rsid w:val="004D649A"/>
    <w:rsid w:val="004D6817"/>
    <w:rsid w:val="004D6DB6"/>
    <w:rsid w:val="004D76DA"/>
    <w:rsid w:val="004D771E"/>
    <w:rsid w:val="004D77CC"/>
    <w:rsid w:val="004E0CFD"/>
    <w:rsid w:val="004E0FC5"/>
    <w:rsid w:val="004E123D"/>
    <w:rsid w:val="004E1E67"/>
    <w:rsid w:val="004E2984"/>
    <w:rsid w:val="004E33C9"/>
    <w:rsid w:val="004E37FA"/>
    <w:rsid w:val="004E383C"/>
    <w:rsid w:val="004E3A0C"/>
    <w:rsid w:val="004E5912"/>
    <w:rsid w:val="004F061E"/>
    <w:rsid w:val="004F08C3"/>
    <w:rsid w:val="004F171E"/>
    <w:rsid w:val="004F1AE3"/>
    <w:rsid w:val="004F1CE9"/>
    <w:rsid w:val="004F22A9"/>
    <w:rsid w:val="004F25BB"/>
    <w:rsid w:val="004F4F2C"/>
    <w:rsid w:val="004F684D"/>
    <w:rsid w:val="004F6BD4"/>
    <w:rsid w:val="004F75B8"/>
    <w:rsid w:val="004F7790"/>
    <w:rsid w:val="00502B45"/>
    <w:rsid w:val="00503973"/>
    <w:rsid w:val="005063A3"/>
    <w:rsid w:val="00507113"/>
    <w:rsid w:val="00507763"/>
    <w:rsid w:val="005106C1"/>
    <w:rsid w:val="0051084E"/>
    <w:rsid w:val="00510EA1"/>
    <w:rsid w:val="00510FE0"/>
    <w:rsid w:val="005111E7"/>
    <w:rsid w:val="0051242F"/>
    <w:rsid w:val="00512523"/>
    <w:rsid w:val="005129A0"/>
    <w:rsid w:val="00513543"/>
    <w:rsid w:val="00513832"/>
    <w:rsid w:val="00513A7F"/>
    <w:rsid w:val="00514225"/>
    <w:rsid w:val="0051626F"/>
    <w:rsid w:val="005163F8"/>
    <w:rsid w:val="00516520"/>
    <w:rsid w:val="00516E24"/>
    <w:rsid w:val="005174AA"/>
    <w:rsid w:val="00517E76"/>
    <w:rsid w:val="00520C72"/>
    <w:rsid w:val="00520F46"/>
    <w:rsid w:val="00521338"/>
    <w:rsid w:val="00522E47"/>
    <w:rsid w:val="00522F5C"/>
    <w:rsid w:val="005235F2"/>
    <w:rsid w:val="0052372F"/>
    <w:rsid w:val="00523C11"/>
    <w:rsid w:val="00523D8C"/>
    <w:rsid w:val="00524725"/>
    <w:rsid w:val="005274C9"/>
    <w:rsid w:val="00527593"/>
    <w:rsid w:val="00527D3D"/>
    <w:rsid w:val="0053084B"/>
    <w:rsid w:val="0053114B"/>
    <w:rsid w:val="005316A5"/>
    <w:rsid w:val="00531B2F"/>
    <w:rsid w:val="00531E8C"/>
    <w:rsid w:val="00532AD7"/>
    <w:rsid w:val="00532E07"/>
    <w:rsid w:val="005338AE"/>
    <w:rsid w:val="00533926"/>
    <w:rsid w:val="00533E33"/>
    <w:rsid w:val="00534189"/>
    <w:rsid w:val="0053419D"/>
    <w:rsid w:val="00534302"/>
    <w:rsid w:val="00534825"/>
    <w:rsid w:val="00534B73"/>
    <w:rsid w:val="00535346"/>
    <w:rsid w:val="00535389"/>
    <w:rsid w:val="00535883"/>
    <w:rsid w:val="00535E81"/>
    <w:rsid w:val="00535F0A"/>
    <w:rsid w:val="0053630B"/>
    <w:rsid w:val="00536936"/>
    <w:rsid w:val="00536D14"/>
    <w:rsid w:val="00536F53"/>
    <w:rsid w:val="00537505"/>
    <w:rsid w:val="00537A7D"/>
    <w:rsid w:val="00537B32"/>
    <w:rsid w:val="00537FC3"/>
    <w:rsid w:val="0054023E"/>
    <w:rsid w:val="0054070A"/>
    <w:rsid w:val="00540CC2"/>
    <w:rsid w:val="00541DE1"/>
    <w:rsid w:val="0054248F"/>
    <w:rsid w:val="00544113"/>
    <w:rsid w:val="005446DB"/>
    <w:rsid w:val="00544D03"/>
    <w:rsid w:val="005460EB"/>
    <w:rsid w:val="00546276"/>
    <w:rsid w:val="00546E64"/>
    <w:rsid w:val="005479EA"/>
    <w:rsid w:val="0055050C"/>
    <w:rsid w:val="0055112D"/>
    <w:rsid w:val="005514A7"/>
    <w:rsid w:val="00551753"/>
    <w:rsid w:val="00551AA5"/>
    <w:rsid w:val="00553378"/>
    <w:rsid w:val="00553B15"/>
    <w:rsid w:val="005545AE"/>
    <w:rsid w:val="0055565D"/>
    <w:rsid w:val="005557C6"/>
    <w:rsid w:val="00555833"/>
    <w:rsid w:val="00555B0C"/>
    <w:rsid w:val="00556C54"/>
    <w:rsid w:val="00556E41"/>
    <w:rsid w:val="005571F8"/>
    <w:rsid w:val="0056051C"/>
    <w:rsid w:val="0056065C"/>
    <w:rsid w:val="00562092"/>
    <w:rsid w:val="00562727"/>
    <w:rsid w:val="0056292D"/>
    <w:rsid w:val="00562D44"/>
    <w:rsid w:val="00562DE4"/>
    <w:rsid w:val="00563CBB"/>
    <w:rsid w:val="005654C8"/>
    <w:rsid w:val="00565CEB"/>
    <w:rsid w:val="005664DD"/>
    <w:rsid w:val="00566F36"/>
    <w:rsid w:val="00567D65"/>
    <w:rsid w:val="00570AAB"/>
    <w:rsid w:val="0057161B"/>
    <w:rsid w:val="0057188E"/>
    <w:rsid w:val="00572139"/>
    <w:rsid w:val="00572199"/>
    <w:rsid w:val="00572311"/>
    <w:rsid w:val="00572689"/>
    <w:rsid w:val="00572CB6"/>
    <w:rsid w:val="00573563"/>
    <w:rsid w:val="0057651F"/>
    <w:rsid w:val="00576565"/>
    <w:rsid w:val="005769E0"/>
    <w:rsid w:val="00577139"/>
    <w:rsid w:val="0057795A"/>
    <w:rsid w:val="005779A1"/>
    <w:rsid w:val="00580A7E"/>
    <w:rsid w:val="0058184E"/>
    <w:rsid w:val="005819B8"/>
    <w:rsid w:val="00581DA7"/>
    <w:rsid w:val="00582049"/>
    <w:rsid w:val="005822B7"/>
    <w:rsid w:val="005827A0"/>
    <w:rsid w:val="00583E42"/>
    <w:rsid w:val="005848F0"/>
    <w:rsid w:val="00584C87"/>
    <w:rsid w:val="00585A4F"/>
    <w:rsid w:val="0058649A"/>
    <w:rsid w:val="0058699F"/>
    <w:rsid w:val="00586F6B"/>
    <w:rsid w:val="0058718A"/>
    <w:rsid w:val="00590407"/>
    <w:rsid w:val="00590EBC"/>
    <w:rsid w:val="00592249"/>
    <w:rsid w:val="005922BF"/>
    <w:rsid w:val="005927E6"/>
    <w:rsid w:val="00593EDB"/>
    <w:rsid w:val="00594075"/>
    <w:rsid w:val="005940D6"/>
    <w:rsid w:val="0059481E"/>
    <w:rsid w:val="00594F21"/>
    <w:rsid w:val="00595A12"/>
    <w:rsid w:val="00596259"/>
    <w:rsid w:val="005962B0"/>
    <w:rsid w:val="005962D7"/>
    <w:rsid w:val="00596A11"/>
    <w:rsid w:val="00596D8C"/>
    <w:rsid w:val="00596DC6"/>
    <w:rsid w:val="005972C4"/>
    <w:rsid w:val="005973CD"/>
    <w:rsid w:val="005976B1"/>
    <w:rsid w:val="00597906"/>
    <w:rsid w:val="00597F3B"/>
    <w:rsid w:val="005A0640"/>
    <w:rsid w:val="005A0F6B"/>
    <w:rsid w:val="005A1A2E"/>
    <w:rsid w:val="005A2FEE"/>
    <w:rsid w:val="005A3246"/>
    <w:rsid w:val="005A36A1"/>
    <w:rsid w:val="005A381C"/>
    <w:rsid w:val="005A3D52"/>
    <w:rsid w:val="005A4B5E"/>
    <w:rsid w:val="005A4EB4"/>
    <w:rsid w:val="005A537C"/>
    <w:rsid w:val="005A5478"/>
    <w:rsid w:val="005A5AD0"/>
    <w:rsid w:val="005A6704"/>
    <w:rsid w:val="005A7E12"/>
    <w:rsid w:val="005B11AA"/>
    <w:rsid w:val="005B1610"/>
    <w:rsid w:val="005B1845"/>
    <w:rsid w:val="005B20AB"/>
    <w:rsid w:val="005B335F"/>
    <w:rsid w:val="005B33C2"/>
    <w:rsid w:val="005B3548"/>
    <w:rsid w:val="005B38DB"/>
    <w:rsid w:val="005B3C56"/>
    <w:rsid w:val="005B4484"/>
    <w:rsid w:val="005B680F"/>
    <w:rsid w:val="005B6CA9"/>
    <w:rsid w:val="005B7493"/>
    <w:rsid w:val="005C05D8"/>
    <w:rsid w:val="005C1379"/>
    <w:rsid w:val="005C3C82"/>
    <w:rsid w:val="005C3D1C"/>
    <w:rsid w:val="005C3E53"/>
    <w:rsid w:val="005C4EDE"/>
    <w:rsid w:val="005C64AB"/>
    <w:rsid w:val="005C6CCB"/>
    <w:rsid w:val="005C77BB"/>
    <w:rsid w:val="005C7DA8"/>
    <w:rsid w:val="005C7E5C"/>
    <w:rsid w:val="005D06A3"/>
    <w:rsid w:val="005D19C0"/>
    <w:rsid w:val="005D2035"/>
    <w:rsid w:val="005D2433"/>
    <w:rsid w:val="005D41BD"/>
    <w:rsid w:val="005D6221"/>
    <w:rsid w:val="005D6ACC"/>
    <w:rsid w:val="005D7242"/>
    <w:rsid w:val="005D76DD"/>
    <w:rsid w:val="005E0D27"/>
    <w:rsid w:val="005E1B07"/>
    <w:rsid w:val="005E1B99"/>
    <w:rsid w:val="005E2BAB"/>
    <w:rsid w:val="005E318B"/>
    <w:rsid w:val="005E3880"/>
    <w:rsid w:val="005E3A40"/>
    <w:rsid w:val="005E4E9E"/>
    <w:rsid w:val="005E4F7E"/>
    <w:rsid w:val="005E5000"/>
    <w:rsid w:val="005E5850"/>
    <w:rsid w:val="005E58D0"/>
    <w:rsid w:val="005E6C28"/>
    <w:rsid w:val="005E70D1"/>
    <w:rsid w:val="005E71E3"/>
    <w:rsid w:val="005E73D3"/>
    <w:rsid w:val="005E7AC7"/>
    <w:rsid w:val="005F0243"/>
    <w:rsid w:val="005F0D4E"/>
    <w:rsid w:val="005F0EA5"/>
    <w:rsid w:val="005F127E"/>
    <w:rsid w:val="005F30A2"/>
    <w:rsid w:val="005F4F59"/>
    <w:rsid w:val="005F50D7"/>
    <w:rsid w:val="005F559F"/>
    <w:rsid w:val="005F5ED1"/>
    <w:rsid w:val="005F677C"/>
    <w:rsid w:val="005F6794"/>
    <w:rsid w:val="005F6EA7"/>
    <w:rsid w:val="006000DD"/>
    <w:rsid w:val="00600798"/>
    <w:rsid w:val="00600FC8"/>
    <w:rsid w:val="00601552"/>
    <w:rsid w:val="00601E6F"/>
    <w:rsid w:val="0060224A"/>
    <w:rsid w:val="006034C2"/>
    <w:rsid w:val="006048D2"/>
    <w:rsid w:val="00604BA8"/>
    <w:rsid w:val="00605251"/>
    <w:rsid w:val="00605B54"/>
    <w:rsid w:val="00605C2A"/>
    <w:rsid w:val="0061081E"/>
    <w:rsid w:val="00611F72"/>
    <w:rsid w:val="00613309"/>
    <w:rsid w:val="00613736"/>
    <w:rsid w:val="006140A6"/>
    <w:rsid w:val="00614FDD"/>
    <w:rsid w:val="006153CD"/>
    <w:rsid w:val="006160F8"/>
    <w:rsid w:val="00620271"/>
    <w:rsid w:val="0062052A"/>
    <w:rsid w:val="00620DC9"/>
    <w:rsid w:val="0062168F"/>
    <w:rsid w:val="00621DC1"/>
    <w:rsid w:val="00621EBC"/>
    <w:rsid w:val="0062207F"/>
    <w:rsid w:val="00622C6E"/>
    <w:rsid w:val="00622E68"/>
    <w:rsid w:val="0062352A"/>
    <w:rsid w:val="00623738"/>
    <w:rsid w:val="006253ED"/>
    <w:rsid w:val="0062574E"/>
    <w:rsid w:val="00626B07"/>
    <w:rsid w:val="0062745C"/>
    <w:rsid w:val="006276CF"/>
    <w:rsid w:val="006277AE"/>
    <w:rsid w:val="0062788D"/>
    <w:rsid w:val="00630B02"/>
    <w:rsid w:val="00630B94"/>
    <w:rsid w:val="00631D9C"/>
    <w:rsid w:val="0063295F"/>
    <w:rsid w:val="006329C0"/>
    <w:rsid w:val="00632F9E"/>
    <w:rsid w:val="00633A6D"/>
    <w:rsid w:val="00633C26"/>
    <w:rsid w:val="00633CC0"/>
    <w:rsid w:val="00634428"/>
    <w:rsid w:val="00635179"/>
    <w:rsid w:val="00635259"/>
    <w:rsid w:val="00635B34"/>
    <w:rsid w:val="00636080"/>
    <w:rsid w:val="00636D9B"/>
    <w:rsid w:val="006371DE"/>
    <w:rsid w:val="0063745D"/>
    <w:rsid w:val="00640416"/>
    <w:rsid w:val="00640980"/>
    <w:rsid w:val="00640FBD"/>
    <w:rsid w:val="00641172"/>
    <w:rsid w:val="006411A3"/>
    <w:rsid w:val="00641260"/>
    <w:rsid w:val="00642283"/>
    <w:rsid w:val="0064324A"/>
    <w:rsid w:val="00643727"/>
    <w:rsid w:val="00643BB8"/>
    <w:rsid w:val="0064448B"/>
    <w:rsid w:val="00644AB2"/>
    <w:rsid w:val="00644CA5"/>
    <w:rsid w:val="00645864"/>
    <w:rsid w:val="0064605E"/>
    <w:rsid w:val="00646E3F"/>
    <w:rsid w:val="00647079"/>
    <w:rsid w:val="006470E4"/>
    <w:rsid w:val="00647134"/>
    <w:rsid w:val="00647C5A"/>
    <w:rsid w:val="00647E0D"/>
    <w:rsid w:val="006500D8"/>
    <w:rsid w:val="00650841"/>
    <w:rsid w:val="00651D73"/>
    <w:rsid w:val="0065206C"/>
    <w:rsid w:val="00652458"/>
    <w:rsid w:val="00652ADE"/>
    <w:rsid w:val="00652BFA"/>
    <w:rsid w:val="006536E2"/>
    <w:rsid w:val="00653A9D"/>
    <w:rsid w:val="00653B20"/>
    <w:rsid w:val="00653B4D"/>
    <w:rsid w:val="00654A87"/>
    <w:rsid w:val="00654C36"/>
    <w:rsid w:val="006557DB"/>
    <w:rsid w:val="00656D7B"/>
    <w:rsid w:val="006572FB"/>
    <w:rsid w:val="00657BC0"/>
    <w:rsid w:val="00657D93"/>
    <w:rsid w:val="0066004F"/>
    <w:rsid w:val="006601ED"/>
    <w:rsid w:val="006611CF"/>
    <w:rsid w:val="00661EE6"/>
    <w:rsid w:val="00662447"/>
    <w:rsid w:val="00662F34"/>
    <w:rsid w:val="006634F9"/>
    <w:rsid w:val="00663805"/>
    <w:rsid w:val="0066404D"/>
    <w:rsid w:val="00664A4A"/>
    <w:rsid w:val="00664E68"/>
    <w:rsid w:val="006651C4"/>
    <w:rsid w:val="00665A19"/>
    <w:rsid w:val="00665B4A"/>
    <w:rsid w:val="00666A4F"/>
    <w:rsid w:val="00666BE3"/>
    <w:rsid w:val="00666ED2"/>
    <w:rsid w:val="00667312"/>
    <w:rsid w:val="00667948"/>
    <w:rsid w:val="00667DC1"/>
    <w:rsid w:val="006707C0"/>
    <w:rsid w:val="00670F2A"/>
    <w:rsid w:val="006710A7"/>
    <w:rsid w:val="006716FB"/>
    <w:rsid w:val="00671F27"/>
    <w:rsid w:val="006736C1"/>
    <w:rsid w:val="00673713"/>
    <w:rsid w:val="0067478B"/>
    <w:rsid w:val="0067513B"/>
    <w:rsid w:val="006751FA"/>
    <w:rsid w:val="006779ED"/>
    <w:rsid w:val="00677C87"/>
    <w:rsid w:val="006801CE"/>
    <w:rsid w:val="00680908"/>
    <w:rsid w:val="00680D9A"/>
    <w:rsid w:val="00681251"/>
    <w:rsid w:val="00681B46"/>
    <w:rsid w:val="00683177"/>
    <w:rsid w:val="0068337B"/>
    <w:rsid w:val="00684312"/>
    <w:rsid w:val="00685451"/>
    <w:rsid w:val="00687CCE"/>
    <w:rsid w:val="0069084A"/>
    <w:rsid w:val="00690D9D"/>
    <w:rsid w:val="00691132"/>
    <w:rsid w:val="00691A69"/>
    <w:rsid w:val="00691EF8"/>
    <w:rsid w:val="006926BD"/>
    <w:rsid w:val="00692A6A"/>
    <w:rsid w:val="0069300F"/>
    <w:rsid w:val="00693702"/>
    <w:rsid w:val="006939A6"/>
    <w:rsid w:val="0069437A"/>
    <w:rsid w:val="00694568"/>
    <w:rsid w:val="006953B0"/>
    <w:rsid w:val="00695EED"/>
    <w:rsid w:val="00696808"/>
    <w:rsid w:val="00696845"/>
    <w:rsid w:val="00697937"/>
    <w:rsid w:val="006A01B0"/>
    <w:rsid w:val="006A2532"/>
    <w:rsid w:val="006A2724"/>
    <w:rsid w:val="006A49A1"/>
    <w:rsid w:val="006A5A8F"/>
    <w:rsid w:val="006A677C"/>
    <w:rsid w:val="006A6A74"/>
    <w:rsid w:val="006A7157"/>
    <w:rsid w:val="006B0FB6"/>
    <w:rsid w:val="006B1E89"/>
    <w:rsid w:val="006B280F"/>
    <w:rsid w:val="006B2B34"/>
    <w:rsid w:val="006B31B5"/>
    <w:rsid w:val="006B3384"/>
    <w:rsid w:val="006B4181"/>
    <w:rsid w:val="006B443F"/>
    <w:rsid w:val="006B50BD"/>
    <w:rsid w:val="006B5EC6"/>
    <w:rsid w:val="006B5F03"/>
    <w:rsid w:val="006B665F"/>
    <w:rsid w:val="006B669D"/>
    <w:rsid w:val="006B7023"/>
    <w:rsid w:val="006B78A3"/>
    <w:rsid w:val="006C1277"/>
    <w:rsid w:val="006C153F"/>
    <w:rsid w:val="006C2ABB"/>
    <w:rsid w:val="006C2D3F"/>
    <w:rsid w:val="006C4046"/>
    <w:rsid w:val="006C4977"/>
    <w:rsid w:val="006C4CA3"/>
    <w:rsid w:val="006C4DA1"/>
    <w:rsid w:val="006C5768"/>
    <w:rsid w:val="006C5CA1"/>
    <w:rsid w:val="006C68B2"/>
    <w:rsid w:val="006C6CA6"/>
    <w:rsid w:val="006C70F7"/>
    <w:rsid w:val="006C77A9"/>
    <w:rsid w:val="006C7CCA"/>
    <w:rsid w:val="006C7E07"/>
    <w:rsid w:val="006D0CCB"/>
    <w:rsid w:val="006D0D2E"/>
    <w:rsid w:val="006D1579"/>
    <w:rsid w:val="006D2C1B"/>
    <w:rsid w:val="006D2E51"/>
    <w:rsid w:val="006D333A"/>
    <w:rsid w:val="006D354D"/>
    <w:rsid w:val="006D3E7F"/>
    <w:rsid w:val="006D458A"/>
    <w:rsid w:val="006D48FA"/>
    <w:rsid w:val="006D4AE3"/>
    <w:rsid w:val="006D5237"/>
    <w:rsid w:val="006D749F"/>
    <w:rsid w:val="006D7932"/>
    <w:rsid w:val="006D7BDF"/>
    <w:rsid w:val="006E0865"/>
    <w:rsid w:val="006E1383"/>
    <w:rsid w:val="006E2850"/>
    <w:rsid w:val="006E2DC1"/>
    <w:rsid w:val="006E378A"/>
    <w:rsid w:val="006E38D6"/>
    <w:rsid w:val="006E41F0"/>
    <w:rsid w:val="006E4735"/>
    <w:rsid w:val="006E510D"/>
    <w:rsid w:val="006E60DE"/>
    <w:rsid w:val="006E699B"/>
    <w:rsid w:val="006E6F9D"/>
    <w:rsid w:val="006E792A"/>
    <w:rsid w:val="006E799E"/>
    <w:rsid w:val="006F1C2C"/>
    <w:rsid w:val="006F29D2"/>
    <w:rsid w:val="006F3E7F"/>
    <w:rsid w:val="006F3F6D"/>
    <w:rsid w:val="006F40C1"/>
    <w:rsid w:val="006F4961"/>
    <w:rsid w:val="006F4DC7"/>
    <w:rsid w:val="006F5BB9"/>
    <w:rsid w:val="006F5DE1"/>
    <w:rsid w:val="006F6525"/>
    <w:rsid w:val="006F67B6"/>
    <w:rsid w:val="006F6B51"/>
    <w:rsid w:val="006F73EF"/>
    <w:rsid w:val="007000AA"/>
    <w:rsid w:val="007003BD"/>
    <w:rsid w:val="00700B69"/>
    <w:rsid w:val="0070172B"/>
    <w:rsid w:val="00701869"/>
    <w:rsid w:val="00701CC5"/>
    <w:rsid w:val="0070278E"/>
    <w:rsid w:val="00702946"/>
    <w:rsid w:val="00703A72"/>
    <w:rsid w:val="0070406F"/>
    <w:rsid w:val="007064EB"/>
    <w:rsid w:val="00707A6C"/>
    <w:rsid w:val="007101E5"/>
    <w:rsid w:val="0071101A"/>
    <w:rsid w:val="0071197E"/>
    <w:rsid w:val="00711E4F"/>
    <w:rsid w:val="007123BE"/>
    <w:rsid w:val="007129DB"/>
    <w:rsid w:val="00712F99"/>
    <w:rsid w:val="007135F4"/>
    <w:rsid w:val="00713ABE"/>
    <w:rsid w:val="007140CA"/>
    <w:rsid w:val="00714352"/>
    <w:rsid w:val="0071523E"/>
    <w:rsid w:val="00715614"/>
    <w:rsid w:val="00716C42"/>
    <w:rsid w:val="007173D0"/>
    <w:rsid w:val="00717805"/>
    <w:rsid w:val="007178C0"/>
    <w:rsid w:val="00717C95"/>
    <w:rsid w:val="00720065"/>
    <w:rsid w:val="00720A81"/>
    <w:rsid w:val="00720E94"/>
    <w:rsid w:val="0072165F"/>
    <w:rsid w:val="00721E52"/>
    <w:rsid w:val="00722383"/>
    <w:rsid w:val="007224CB"/>
    <w:rsid w:val="00722AA8"/>
    <w:rsid w:val="00722AAD"/>
    <w:rsid w:val="00722D4A"/>
    <w:rsid w:val="007230A8"/>
    <w:rsid w:val="007234D5"/>
    <w:rsid w:val="00723B23"/>
    <w:rsid w:val="00723EAB"/>
    <w:rsid w:val="00724C4A"/>
    <w:rsid w:val="00725A78"/>
    <w:rsid w:val="00725B40"/>
    <w:rsid w:val="00725EB4"/>
    <w:rsid w:val="00726011"/>
    <w:rsid w:val="00726C4F"/>
    <w:rsid w:val="00726E60"/>
    <w:rsid w:val="00727696"/>
    <w:rsid w:val="00727776"/>
    <w:rsid w:val="00727EE7"/>
    <w:rsid w:val="007304F9"/>
    <w:rsid w:val="00731743"/>
    <w:rsid w:val="00733FE0"/>
    <w:rsid w:val="0073406F"/>
    <w:rsid w:val="0073462B"/>
    <w:rsid w:val="00734C24"/>
    <w:rsid w:val="0073543B"/>
    <w:rsid w:val="00735E65"/>
    <w:rsid w:val="00736464"/>
    <w:rsid w:val="00736BA9"/>
    <w:rsid w:val="00736CE4"/>
    <w:rsid w:val="00736D7C"/>
    <w:rsid w:val="007371CC"/>
    <w:rsid w:val="0073727C"/>
    <w:rsid w:val="007403D1"/>
    <w:rsid w:val="00740BA1"/>
    <w:rsid w:val="00741819"/>
    <w:rsid w:val="00742DBC"/>
    <w:rsid w:val="0074457C"/>
    <w:rsid w:val="00744D98"/>
    <w:rsid w:val="007458C5"/>
    <w:rsid w:val="007459C5"/>
    <w:rsid w:val="00745B12"/>
    <w:rsid w:val="0074639F"/>
    <w:rsid w:val="0074757A"/>
    <w:rsid w:val="007513CC"/>
    <w:rsid w:val="00752246"/>
    <w:rsid w:val="0075246A"/>
    <w:rsid w:val="00752AC4"/>
    <w:rsid w:val="0075334F"/>
    <w:rsid w:val="007545DD"/>
    <w:rsid w:val="0075463C"/>
    <w:rsid w:val="007569C8"/>
    <w:rsid w:val="00756C00"/>
    <w:rsid w:val="00757015"/>
    <w:rsid w:val="00757EDD"/>
    <w:rsid w:val="007615E8"/>
    <w:rsid w:val="007625D4"/>
    <w:rsid w:val="00762DEA"/>
    <w:rsid w:val="00764712"/>
    <w:rsid w:val="00765158"/>
    <w:rsid w:val="00765B1A"/>
    <w:rsid w:val="00765B24"/>
    <w:rsid w:val="00765FB0"/>
    <w:rsid w:val="00766D64"/>
    <w:rsid w:val="007673AC"/>
    <w:rsid w:val="00767454"/>
    <w:rsid w:val="007678E8"/>
    <w:rsid w:val="00767AE0"/>
    <w:rsid w:val="007710D3"/>
    <w:rsid w:val="00772133"/>
    <w:rsid w:val="007731D9"/>
    <w:rsid w:val="007731ED"/>
    <w:rsid w:val="00774808"/>
    <w:rsid w:val="00775657"/>
    <w:rsid w:val="00775E81"/>
    <w:rsid w:val="007762EA"/>
    <w:rsid w:val="0077661F"/>
    <w:rsid w:val="00777EB8"/>
    <w:rsid w:val="00780927"/>
    <w:rsid w:val="007818D3"/>
    <w:rsid w:val="007818FC"/>
    <w:rsid w:val="007837D0"/>
    <w:rsid w:val="00784675"/>
    <w:rsid w:val="007851AA"/>
    <w:rsid w:val="00785224"/>
    <w:rsid w:val="00785D5A"/>
    <w:rsid w:val="00786791"/>
    <w:rsid w:val="00786A12"/>
    <w:rsid w:val="00787093"/>
    <w:rsid w:val="007870C9"/>
    <w:rsid w:val="007878F3"/>
    <w:rsid w:val="00787BBB"/>
    <w:rsid w:val="00790550"/>
    <w:rsid w:val="00790B9E"/>
    <w:rsid w:val="00790C19"/>
    <w:rsid w:val="00791443"/>
    <w:rsid w:val="00791836"/>
    <w:rsid w:val="00793365"/>
    <w:rsid w:val="00793405"/>
    <w:rsid w:val="0079518B"/>
    <w:rsid w:val="00796082"/>
    <w:rsid w:val="007964C9"/>
    <w:rsid w:val="00796A95"/>
    <w:rsid w:val="007A07EA"/>
    <w:rsid w:val="007A27E9"/>
    <w:rsid w:val="007A3332"/>
    <w:rsid w:val="007A3391"/>
    <w:rsid w:val="007A4B6B"/>
    <w:rsid w:val="007A68BF"/>
    <w:rsid w:val="007A6977"/>
    <w:rsid w:val="007A70C7"/>
    <w:rsid w:val="007A75B7"/>
    <w:rsid w:val="007B0055"/>
    <w:rsid w:val="007B0C4F"/>
    <w:rsid w:val="007B111A"/>
    <w:rsid w:val="007B1124"/>
    <w:rsid w:val="007B188D"/>
    <w:rsid w:val="007B24C5"/>
    <w:rsid w:val="007B3485"/>
    <w:rsid w:val="007B3FA8"/>
    <w:rsid w:val="007B443D"/>
    <w:rsid w:val="007B5E07"/>
    <w:rsid w:val="007B60A0"/>
    <w:rsid w:val="007B6C70"/>
    <w:rsid w:val="007B719B"/>
    <w:rsid w:val="007B7BF6"/>
    <w:rsid w:val="007C0A9B"/>
    <w:rsid w:val="007C2B2B"/>
    <w:rsid w:val="007C36EE"/>
    <w:rsid w:val="007C428F"/>
    <w:rsid w:val="007C48E4"/>
    <w:rsid w:val="007C53F9"/>
    <w:rsid w:val="007C5C69"/>
    <w:rsid w:val="007C5F60"/>
    <w:rsid w:val="007C663C"/>
    <w:rsid w:val="007D001C"/>
    <w:rsid w:val="007D1B84"/>
    <w:rsid w:val="007D1E65"/>
    <w:rsid w:val="007D24D5"/>
    <w:rsid w:val="007D2555"/>
    <w:rsid w:val="007D3BB9"/>
    <w:rsid w:val="007D3CEB"/>
    <w:rsid w:val="007D50C8"/>
    <w:rsid w:val="007D5997"/>
    <w:rsid w:val="007D5A75"/>
    <w:rsid w:val="007D7FA8"/>
    <w:rsid w:val="007E056D"/>
    <w:rsid w:val="007E0C19"/>
    <w:rsid w:val="007E1CD9"/>
    <w:rsid w:val="007E315F"/>
    <w:rsid w:val="007E34FE"/>
    <w:rsid w:val="007E37DD"/>
    <w:rsid w:val="007E37FC"/>
    <w:rsid w:val="007E3E45"/>
    <w:rsid w:val="007E5B2B"/>
    <w:rsid w:val="007E5B98"/>
    <w:rsid w:val="007E62E8"/>
    <w:rsid w:val="007E6FC1"/>
    <w:rsid w:val="007E7187"/>
    <w:rsid w:val="007F0292"/>
    <w:rsid w:val="007F0CCC"/>
    <w:rsid w:val="007F1282"/>
    <w:rsid w:val="007F1597"/>
    <w:rsid w:val="007F1BE1"/>
    <w:rsid w:val="007F219B"/>
    <w:rsid w:val="007F2B2A"/>
    <w:rsid w:val="007F2FBA"/>
    <w:rsid w:val="007F3216"/>
    <w:rsid w:val="007F331D"/>
    <w:rsid w:val="007F4402"/>
    <w:rsid w:val="007F4B8D"/>
    <w:rsid w:val="007F5469"/>
    <w:rsid w:val="007F60C2"/>
    <w:rsid w:val="00800175"/>
    <w:rsid w:val="00800233"/>
    <w:rsid w:val="00800625"/>
    <w:rsid w:val="00800F36"/>
    <w:rsid w:val="008018B7"/>
    <w:rsid w:val="00801906"/>
    <w:rsid w:val="00801AE6"/>
    <w:rsid w:val="00801FDD"/>
    <w:rsid w:val="0080224D"/>
    <w:rsid w:val="0080254A"/>
    <w:rsid w:val="00803189"/>
    <w:rsid w:val="00803572"/>
    <w:rsid w:val="00803705"/>
    <w:rsid w:val="00803A65"/>
    <w:rsid w:val="00803BE2"/>
    <w:rsid w:val="00804197"/>
    <w:rsid w:val="00804CF5"/>
    <w:rsid w:val="008053CE"/>
    <w:rsid w:val="00805853"/>
    <w:rsid w:val="008061A4"/>
    <w:rsid w:val="00806355"/>
    <w:rsid w:val="00806BC6"/>
    <w:rsid w:val="008076EA"/>
    <w:rsid w:val="008101A1"/>
    <w:rsid w:val="00811244"/>
    <w:rsid w:val="0081249F"/>
    <w:rsid w:val="0081257F"/>
    <w:rsid w:val="0081315F"/>
    <w:rsid w:val="00813317"/>
    <w:rsid w:val="008137F6"/>
    <w:rsid w:val="00813B7D"/>
    <w:rsid w:val="00814CEF"/>
    <w:rsid w:val="00815338"/>
    <w:rsid w:val="00815BC6"/>
    <w:rsid w:val="00815DBA"/>
    <w:rsid w:val="0081638B"/>
    <w:rsid w:val="00816482"/>
    <w:rsid w:val="008164C3"/>
    <w:rsid w:val="00816F23"/>
    <w:rsid w:val="00817380"/>
    <w:rsid w:val="00817CB0"/>
    <w:rsid w:val="00817E45"/>
    <w:rsid w:val="00820340"/>
    <w:rsid w:val="00820D22"/>
    <w:rsid w:val="0082175C"/>
    <w:rsid w:val="00821B87"/>
    <w:rsid w:val="00822813"/>
    <w:rsid w:val="00822E9C"/>
    <w:rsid w:val="008231C1"/>
    <w:rsid w:val="00824A86"/>
    <w:rsid w:val="008259BD"/>
    <w:rsid w:val="00825E6E"/>
    <w:rsid w:val="00826AE8"/>
    <w:rsid w:val="00826C65"/>
    <w:rsid w:val="00826D04"/>
    <w:rsid w:val="00827513"/>
    <w:rsid w:val="008279B6"/>
    <w:rsid w:val="008314E3"/>
    <w:rsid w:val="0083194F"/>
    <w:rsid w:val="008321BA"/>
    <w:rsid w:val="00832A93"/>
    <w:rsid w:val="00833814"/>
    <w:rsid w:val="00833BF7"/>
    <w:rsid w:val="00834993"/>
    <w:rsid w:val="00834AFF"/>
    <w:rsid w:val="008354C3"/>
    <w:rsid w:val="00835513"/>
    <w:rsid w:val="00835ACE"/>
    <w:rsid w:val="00836F3A"/>
    <w:rsid w:val="00837B5D"/>
    <w:rsid w:val="00837DEF"/>
    <w:rsid w:val="00840269"/>
    <w:rsid w:val="00840FF5"/>
    <w:rsid w:val="008412D2"/>
    <w:rsid w:val="00841E84"/>
    <w:rsid w:val="00842373"/>
    <w:rsid w:val="008429B0"/>
    <w:rsid w:val="008434DA"/>
    <w:rsid w:val="008437DF"/>
    <w:rsid w:val="008440E9"/>
    <w:rsid w:val="0084453D"/>
    <w:rsid w:val="0084499D"/>
    <w:rsid w:val="00844AE3"/>
    <w:rsid w:val="00844C41"/>
    <w:rsid w:val="00844E5E"/>
    <w:rsid w:val="00844FFC"/>
    <w:rsid w:val="008451B3"/>
    <w:rsid w:val="0084665F"/>
    <w:rsid w:val="008479D0"/>
    <w:rsid w:val="00851ED2"/>
    <w:rsid w:val="0085229C"/>
    <w:rsid w:val="008530F3"/>
    <w:rsid w:val="008531BD"/>
    <w:rsid w:val="008544D1"/>
    <w:rsid w:val="00856933"/>
    <w:rsid w:val="00856C8A"/>
    <w:rsid w:val="00856FEE"/>
    <w:rsid w:val="0085723E"/>
    <w:rsid w:val="00857630"/>
    <w:rsid w:val="00857F28"/>
    <w:rsid w:val="00860550"/>
    <w:rsid w:val="008606EC"/>
    <w:rsid w:val="008608C7"/>
    <w:rsid w:val="00860BF1"/>
    <w:rsid w:val="00860D78"/>
    <w:rsid w:val="00861072"/>
    <w:rsid w:val="00861458"/>
    <w:rsid w:val="0086171F"/>
    <w:rsid w:val="0086185F"/>
    <w:rsid w:val="00862448"/>
    <w:rsid w:val="0086268B"/>
    <w:rsid w:val="0086294B"/>
    <w:rsid w:val="008629B2"/>
    <w:rsid w:val="00863744"/>
    <w:rsid w:val="00863A7A"/>
    <w:rsid w:val="0086452A"/>
    <w:rsid w:val="00865639"/>
    <w:rsid w:val="00865AB1"/>
    <w:rsid w:val="00865C5F"/>
    <w:rsid w:val="00866D0C"/>
    <w:rsid w:val="00867035"/>
    <w:rsid w:val="00867D41"/>
    <w:rsid w:val="00867E31"/>
    <w:rsid w:val="008706C5"/>
    <w:rsid w:val="00870B2F"/>
    <w:rsid w:val="00870F67"/>
    <w:rsid w:val="00871788"/>
    <w:rsid w:val="00871BF3"/>
    <w:rsid w:val="00871EDC"/>
    <w:rsid w:val="00872290"/>
    <w:rsid w:val="0087253B"/>
    <w:rsid w:val="008725F7"/>
    <w:rsid w:val="008726BC"/>
    <w:rsid w:val="00874A5A"/>
    <w:rsid w:val="00875015"/>
    <w:rsid w:val="008758C8"/>
    <w:rsid w:val="00875AD3"/>
    <w:rsid w:val="00876174"/>
    <w:rsid w:val="00877058"/>
    <w:rsid w:val="008774E4"/>
    <w:rsid w:val="00880239"/>
    <w:rsid w:val="008810C0"/>
    <w:rsid w:val="00881177"/>
    <w:rsid w:val="00881CF9"/>
    <w:rsid w:val="00882033"/>
    <w:rsid w:val="00882464"/>
    <w:rsid w:val="00882634"/>
    <w:rsid w:val="008843EA"/>
    <w:rsid w:val="00884CFA"/>
    <w:rsid w:val="00885C4D"/>
    <w:rsid w:val="00886267"/>
    <w:rsid w:val="008873D4"/>
    <w:rsid w:val="00887925"/>
    <w:rsid w:val="00887CFA"/>
    <w:rsid w:val="008900C1"/>
    <w:rsid w:val="008904D3"/>
    <w:rsid w:val="0089055D"/>
    <w:rsid w:val="008906D7"/>
    <w:rsid w:val="00890C9E"/>
    <w:rsid w:val="00890D5E"/>
    <w:rsid w:val="0089120C"/>
    <w:rsid w:val="00891AAB"/>
    <w:rsid w:val="00891B97"/>
    <w:rsid w:val="00891C16"/>
    <w:rsid w:val="008920A3"/>
    <w:rsid w:val="008932BC"/>
    <w:rsid w:val="008938B3"/>
    <w:rsid w:val="00893A2D"/>
    <w:rsid w:val="008942B7"/>
    <w:rsid w:val="00894679"/>
    <w:rsid w:val="00894813"/>
    <w:rsid w:val="00894C6D"/>
    <w:rsid w:val="00896289"/>
    <w:rsid w:val="00896B7A"/>
    <w:rsid w:val="00896D91"/>
    <w:rsid w:val="0089709A"/>
    <w:rsid w:val="008A203D"/>
    <w:rsid w:val="008A2601"/>
    <w:rsid w:val="008A2E38"/>
    <w:rsid w:val="008A4CF8"/>
    <w:rsid w:val="008A71F4"/>
    <w:rsid w:val="008A753B"/>
    <w:rsid w:val="008A7B18"/>
    <w:rsid w:val="008B1160"/>
    <w:rsid w:val="008B1F9F"/>
    <w:rsid w:val="008B24C9"/>
    <w:rsid w:val="008B2574"/>
    <w:rsid w:val="008B2616"/>
    <w:rsid w:val="008B3D74"/>
    <w:rsid w:val="008B3EA2"/>
    <w:rsid w:val="008B3ED0"/>
    <w:rsid w:val="008B4C89"/>
    <w:rsid w:val="008B4C97"/>
    <w:rsid w:val="008B4F40"/>
    <w:rsid w:val="008B6D20"/>
    <w:rsid w:val="008B781E"/>
    <w:rsid w:val="008B7E4A"/>
    <w:rsid w:val="008C10F7"/>
    <w:rsid w:val="008C1D0A"/>
    <w:rsid w:val="008C3186"/>
    <w:rsid w:val="008C46C1"/>
    <w:rsid w:val="008C4AEB"/>
    <w:rsid w:val="008C5743"/>
    <w:rsid w:val="008C5D6D"/>
    <w:rsid w:val="008C61A2"/>
    <w:rsid w:val="008C6628"/>
    <w:rsid w:val="008C6779"/>
    <w:rsid w:val="008C73E2"/>
    <w:rsid w:val="008C7637"/>
    <w:rsid w:val="008C77D2"/>
    <w:rsid w:val="008C7C14"/>
    <w:rsid w:val="008D0756"/>
    <w:rsid w:val="008D216F"/>
    <w:rsid w:val="008D2C19"/>
    <w:rsid w:val="008D2CFD"/>
    <w:rsid w:val="008D3D01"/>
    <w:rsid w:val="008D3F2A"/>
    <w:rsid w:val="008D461F"/>
    <w:rsid w:val="008D4E86"/>
    <w:rsid w:val="008D59A0"/>
    <w:rsid w:val="008D5CD3"/>
    <w:rsid w:val="008D5EB3"/>
    <w:rsid w:val="008D61F7"/>
    <w:rsid w:val="008D62BE"/>
    <w:rsid w:val="008D6326"/>
    <w:rsid w:val="008D79B4"/>
    <w:rsid w:val="008D7A33"/>
    <w:rsid w:val="008E0194"/>
    <w:rsid w:val="008E0BCA"/>
    <w:rsid w:val="008E22D1"/>
    <w:rsid w:val="008E2977"/>
    <w:rsid w:val="008E2A34"/>
    <w:rsid w:val="008E3B4D"/>
    <w:rsid w:val="008E3CE4"/>
    <w:rsid w:val="008E4364"/>
    <w:rsid w:val="008E49C6"/>
    <w:rsid w:val="008E5685"/>
    <w:rsid w:val="008E5EFA"/>
    <w:rsid w:val="008E60B2"/>
    <w:rsid w:val="008E74DC"/>
    <w:rsid w:val="008E770D"/>
    <w:rsid w:val="008E7858"/>
    <w:rsid w:val="008E7C3F"/>
    <w:rsid w:val="008F00FC"/>
    <w:rsid w:val="008F014F"/>
    <w:rsid w:val="008F03FE"/>
    <w:rsid w:val="008F17BB"/>
    <w:rsid w:val="008F1A25"/>
    <w:rsid w:val="008F2064"/>
    <w:rsid w:val="008F2122"/>
    <w:rsid w:val="008F2339"/>
    <w:rsid w:val="008F23AE"/>
    <w:rsid w:val="008F25F1"/>
    <w:rsid w:val="008F2B09"/>
    <w:rsid w:val="008F3572"/>
    <w:rsid w:val="008F3F10"/>
    <w:rsid w:val="008F4D92"/>
    <w:rsid w:val="008F5E1E"/>
    <w:rsid w:val="008F5F92"/>
    <w:rsid w:val="008F63CC"/>
    <w:rsid w:val="00900047"/>
    <w:rsid w:val="0090026B"/>
    <w:rsid w:val="00900622"/>
    <w:rsid w:val="00900D2E"/>
    <w:rsid w:val="00900D7B"/>
    <w:rsid w:val="00900EBC"/>
    <w:rsid w:val="00901F26"/>
    <w:rsid w:val="00902143"/>
    <w:rsid w:val="0090407A"/>
    <w:rsid w:val="00904363"/>
    <w:rsid w:val="0090442D"/>
    <w:rsid w:val="009048A8"/>
    <w:rsid w:val="00904D5E"/>
    <w:rsid w:val="00904E08"/>
    <w:rsid w:val="00905569"/>
    <w:rsid w:val="00905AD6"/>
    <w:rsid w:val="00906ABE"/>
    <w:rsid w:val="00906AF5"/>
    <w:rsid w:val="009070CE"/>
    <w:rsid w:val="0090794E"/>
    <w:rsid w:val="009111B2"/>
    <w:rsid w:val="00911BD0"/>
    <w:rsid w:val="00911C3A"/>
    <w:rsid w:val="009129EF"/>
    <w:rsid w:val="009134A1"/>
    <w:rsid w:val="00913779"/>
    <w:rsid w:val="009143BD"/>
    <w:rsid w:val="00914AE3"/>
    <w:rsid w:val="00915FDE"/>
    <w:rsid w:val="00916C90"/>
    <w:rsid w:val="00917845"/>
    <w:rsid w:val="00920815"/>
    <w:rsid w:val="00921A22"/>
    <w:rsid w:val="0092225D"/>
    <w:rsid w:val="009241CB"/>
    <w:rsid w:val="0092492D"/>
    <w:rsid w:val="0092519F"/>
    <w:rsid w:val="0092629B"/>
    <w:rsid w:val="00927294"/>
    <w:rsid w:val="009272CD"/>
    <w:rsid w:val="0092779C"/>
    <w:rsid w:val="00927B7B"/>
    <w:rsid w:val="00930474"/>
    <w:rsid w:val="00930FF4"/>
    <w:rsid w:val="00931499"/>
    <w:rsid w:val="0093246F"/>
    <w:rsid w:val="00932853"/>
    <w:rsid w:val="009338C6"/>
    <w:rsid w:val="009338D7"/>
    <w:rsid w:val="00933EDC"/>
    <w:rsid w:val="0093514F"/>
    <w:rsid w:val="0093588D"/>
    <w:rsid w:val="00936138"/>
    <w:rsid w:val="00937BE2"/>
    <w:rsid w:val="00937E15"/>
    <w:rsid w:val="0094091B"/>
    <w:rsid w:val="00940D0E"/>
    <w:rsid w:val="00940DBC"/>
    <w:rsid w:val="009426CB"/>
    <w:rsid w:val="0094304C"/>
    <w:rsid w:val="0094333B"/>
    <w:rsid w:val="00943C9E"/>
    <w:rsid w:val="00943D3A"/>
    <w:rsid w:val="00944025"/>
    <w:rsid w:val="00944243"/>
    <w:rsid w:val="00944970"/>
    <w:rsid w:val="00944E3A"/>
    <w:rsid w:val="009472E6"/>
    <w:rsid w:val="00947335"/>
    <w:rsid w:val="00947749"/>
    <w:rsid w:val="00947BB4"/>
    <w:rsid w:val="00947C38"/>
    <w:rsid w:val="00947EF2"/>
    <w:rsid w:val="00947F87"/>
    <w:rsid w:val="00951CEE"/>
    <w:rsid w:val="00952658"/>
    <w:rsid w:val="00952DAA"/>
    <w:rsid w:val="00952F83"/>
    <w:rsid w:val="009531DB"/>
    <w:rsid w:val="00953D1D"/>
    <w:rsid w:val="00953F0B"/>
    <w:rsid w:val="00954ADA"/>
    <w:rsid w:val="00954E4C"/>
    <w:rsid w:val="009552F7"/>
    <w:rsid w:val="00957D7A"/>
    <w:rsid w:val="00960446"/>
    <w:rsid w:val="00961501"/>
    <w:rsid w:val="00962B32"/>
    <w:rsid w:val="0096301D"/>
    <w:rsid w:val="00963413"/>
    <w:rsid w:val="009635FF"/>
    <w:rsid w:val="009637E6"/>
    <w:rsid w:val="009638F8"/>
    <w:rsid w:val="00963BDF"/>
    <w:rsid w:val="00965941"/>
    <w:rsid w:val="00966620"/>
    <w:rsid w:val="0096698E"/>
    <w:rsid w:val="00966B37"/>
    <w:rsid w:val="0096763F"/>
    <w:rsid w:val="00970B25"/>
    <w:rsid w:val="00970BBF"/>
    <w:rsid w:val="00970D49"/>
    <w:rsid w:val="00971529"/>
    <w:rsid w:val="00971B50"/>
    <w:rsid w:val="0097210D"/>
    <w:rsid w:val="00972984"/>
    <w:rsid w:val="00972B19"/>
    <w:rsid w:val="0097389D"/>
    <w:rsid w:val="00973B0B"/>
    <w:rsid w:val="00974842"/>
    <w:rsid w:val="009748F3"/>
    <w:rsid w:val="00974C36"/>
    <w:rsid w:val="00974C62"/>
    <w:rsid w:val="00974CBA"/>
    <w:rsid w:val="00975588"/>
    <w:rsid w:val="009757B8"/>
    <w:rsid w:val="00975830"/>
    <w:rsid w:val="00977518"/>
    <w:rsid w:val="009776C5"/>
    <w:rsid w:val="00977E36"/>
    <w:rsid w:val="009801C9"/>
    <w:rsid w:val="00980A10"/>
    <w:rsid w:val="00980B62"/>
    <w:rsid w:val="00981CD2"/>
    <w:rsid w:val="00981EFB"/>
    <w:rsid w:val="00983098"/>
    <w:rsid w:val="0098430E"/>
    <w:rsid w:val="0098484C"/>
    <w:rsid w:val="0098519E"/>
    <w:rsid w:val="009867C2"/>
    <w:rsid w:val="00986BD3"/>
    <w:rsid w:val="00986DA3"/>
    <w:rsid w:val="0098718C"/>
    <w:rsid w:val="00987354"/>
    <w:rsid w:val="0098746E"/>
    <w:rsid w:val="009877DE"/>
    <w:rsid w:val="009879F2"/>
    <w:rsid w:val="00990853"/>
    <w:rsid w:val="00990AE2"/>
    <w:rsid w:val="00990C95"/>
    <w:rsid w:val="0099123C"/>
    <w:rsid w:val="00991299"/>
    <w:rsid w:val="00991C0C"/>
    <w:rsid w:val="00994481"/>
    <w:rsid w:val="009947A5"/>
    <w:rsid w:val="00994FC3"/>
    <w:rsid w:val="0099529B"/>
    <w:rsid w:val="00995BAA"/>
    <w:rsid w:val="009960D9"/>
    <w:rsid w:val="00996225"/>
    <w:rsid w:val="009965E6"/>
    <w:rsid w:val="009967F8"/>
    <w:rsid w:val="00996D37"/>
    <w:rsid w:val="00997386"/>
    <w:rsid w:val="009A1094"/>
    <w:rsid w:val="009A16C1"/>
    <w:rsid w:val="009A1C38"/>
    <w:rsid w:val="009A1EB7"/>
    <w:rsid w:val="009A2386"/>
    <w:rsid w:val="009A261E"/>
    <w:rsid w:val="009A2C26"/>
    <w:rsid w:val="009A2D2F"/>
    <w:rsid w:val="009A2F58"/>
    <w:rsid w:val="009A3B4E"/>
    <w:rsid w:val="009A4681"/>
    <w:rsid w:val="009A46D6"/>
    <w:rsid w:val="009A488A"/>
    <w:rsid w:val="009A4AB8"/>
    <w:rsid w:val="009A4BED"/>
    <w:rsid w:val="009A50CD"/>
    <w:rsid w:val="009A65CB"/>
    <w:rsid w:val="009A6D23"/>
    <w:rsid w:val="009A6D71"/>
    <w:rsid w:val="009A72D9"/>
    <w:rsid w:val="009A7682"/>
    <w:rsid w:val="009A7B71"/>
    <w:rsid w:val="009B07FF"/>
    <w:rsid w:val="009B0E15"/>
    <w:rsid w:val="009B2056"/>
    <w:rsid w:val="009B3068"/>
    <w:rsid w:val="009B399A"/>
    <w:rsid w:val="009B4770"/>
    <w:rsid w:val="009B4A1F"/>
    <w:rsid w:val="009B4EE9"/>
    <w:rsid w:val="009B555C"/>
    <w:rsid w:val="009B556C"/>
    <w:rsid w:val="009B74E4"/>
    <w:rsid w:val="009B7D19"/>
    <w:rsid w:val="009C1141"/>
    <w:rsid w:val="009C13B5"/>
    <w:rsid w:val="009C1BB4"/>
    <w:rsid w:val="009C29FE"/>
    <w:rsid w:val="009C2FF9"/>
    <w:rsid w:val="009C4057"/>
    <w:rsid w:val="009C432A"/>
    <w:rsid w:val="009C49C9"/>
    <w:rsid w:val="009C55C6"/>
    <w:rsid w:val="009C56DE"/>
    <w:rsid w:val="009C5AA5"/>
    <w:rsid w:val="009C5D2D"/>
    <w:rsid w:val="009C6150"/>
    <w:rsid w:val="009C6E27"/>
    <w:rsid w:val="009C7455"/>
    <w:rsid w:val="009C7756"/>
    <w:rsid w:val="009D0CB5"/>
    <w:rsid w:val="009D1B1F"/>
    <w:rsid w:val="009D1D38"/>
    <w:rsid w:val="009D2296"/>
    <w:rsid w:val="009D2979"/>
    <w:rsid w:val="009D4031"/>
    <w:rsid w:val="009D4260"/>
    <w:rsid w:val="009D4F26"/>
    <w:rsid w:val="009D6495"/>
    <w:rsid w:val="009D69E6"/>
    <w:rsid w:val="009D6AD8"/>
    <w:rsid w:val="009D6DC4"/>
    <w:rsid w:val="009D76ED"/>
    <w:rsid w:val="009E00A6"/>
    <w:rsid w:val="009E17DF"/>
    <w:rsid w:val="009E2388"/>
    <w:rsid w:val="009E2887"/>
    <w:rsid w:val="009E2AB1"/>
    <w:rsid w:val="009E2B13"/>
    <w:rsid w:val="009E31C0"/>
    <w:rsid w:val="009E32E9"/>
    <w:rsid w:val="009E3A2A"/>
    <w:rsid w:val="009E410F"/>
    <w:rsid w:val="009E427E"/>
    <w:rsid w:val="009E54B0"/>
    <w:rsid w:val="009E5829"/>
    <w:rsid w:val="009E5BFF"/>
    <w:rsid w:val="009E6209"/>
    <w:rsid w:val="009E6612"/>
    <w:rsid w:val="009E6BF8"/>
    <w:rsid w:val="009E6CB5"/>
    <w:rsid w:val="009E7293"/>
    <w:rsid w:val="009E7AEB"/>
    <w:rsid w:val="009E7FF9"/>
    <w:rsid w:val="009F13F3"/>
    <w:rsid w:val="009F30BE"/>
    <w:rsid w:val="009F3559"/>
    <w:rsid w:val="009F43F0"/>
    <w:rsid w:val="009F44E7"/>
    <w:rsid w:val="009F4E1A"/>
    <w:rsid w:val="009F4F66"/>
    <w:rsid w:val="009F52DA"/>
    <w:rsid w:val="009F5ADB"/>
    <w:rsid w:val="009F61F2"/>
    <w:rsid w:val="009F6CDA"/>
    <w:rsid w:val="009F6F2B"/>
    <w:rsid w:val="009F6F86"/>
    <w:rsid w:val="009F6F9A"/>
    <w:rsid w:val="009F7790"/>
    <w:rsid w:val="00A00D7E"/>
    <w:rsid w:val="00A00F66"/>
    <w:rsid w:val="00A017E4"/>
    <w:rsid w:val="00A023F7"/>
    <w:rsid w:val="00A0368E"/>
    <w:rsid w:val="00A03BE3"/>
    <w:rsid w:val="00A04A6B"/>
    <w:rsid w:val="00A0500C"/>
    <w:rsid w:val="00A051B4"/>
    <w:rsid w:val="00A06062"/>
    <w:rsid w:val="00A07802"/>
    <w:rsid w:val="00A078A3"/>
    <w:rsid w:val="00A07961"/>
    <w:rsid w:val="00A07CF1"/>
    <w:rsid w:val="00A07E40"/>
    <w:rsid w:val="00A07F5E"/>
    <w:rsid w:val="00A100C1"/>
    <w:rsid w:val="00A115B4"/>
    <w:rsid w:val="00A12993"/>
    <w:rsid w:val="00A131B7"/>
    <w:rsid w:val="00A1366A"/>
    <w:rsid w:val="00A13B82"/>
    <w:rsid w:val="00A13EB7"/>
    <w:rsid w:val="00A1435F"/>
    <w:rsid w:val="00A1464A"/>
    <w:rsid w:val="00A152FB"/>
    <w:rsid w:val="00A15B7C"/>
    <w:rsid w:val="00A15F8E"/>
    <w:rsid w:val="00A16EE7"/>
    <w:rsid w:val="00A17288"/>
    <w:rsid w:val="00A172C1"/>
    <w:rsid w:val="00A204B7"/>
    <w:rsid w:val="00A209CD"/>
    <w:rsid w:val="00A20A9A"/>
    <w:rsid w:val="00A20EB3"/>
    <w:rsid w:val="00A22456"/>
    <w:rsid w:val="00A2247A"/>
    <w:rsid w:val="00A23FAE"/>
    <w:rsid w:val="00A241BF"/>
    <w:rsid w:val="00A24957"/>
    <w:rsid w:val="00A25D71"/>
    <w:rsid w:val="00A2608D"/>
    <w:rsid w:val="00A26219"/>
    <w:rsid w:val="00A26623"/>
    <w:rsid w:val="00A26B01"/>
    <w:rsid w:val="00A27081"/>
    <w:rsid w:val="00A27E1D"/>
    <w:rsid w:val="00A30A47"/>
    <w:rsid w:val="00A33DED"/>
    <w:rsid w:val="00A357A6"/>
    <w:rsid w:val="00A35A7F"/>
    <w:rsid w:val="00A362DD"/>
    <w:rsid w:val="00A36860"/>
    <w:rsid w:val="00A36D77"/>
    <w:rsid w:val="00A3703C"/>
    <w:rsid w:val="00A37646"/>
    <w:rsid w:val="00A376EC"/>
    <w:rsid w:val="00A37BB2"/>
    <w:rsid w:val="00A37F0B"/>
    <w:rsid w:val="00A400BB"/>
    <w:rsid w:val="00A40B2F"/>
    <w:rsid w:val="00A40E91"/>
    <w:rsid w:val="00A4105C"/>
    <w:rsid w:val="00A4141C"/>
    <w:rsid w:val="00A41F99"/>
    <w:rsid w:val="00A41FD9"/>
    <w:rsid w:val="00A423F5"/>
    <w:rsid w:val="00A42C1A"/>
    <w:rsid w:val="00A42E64"/>
    <w:rsid w:val="00A43088"/>
    <w:rsid w:val="00A44002"/>
    <w:rsid w:val="00A4434A"/>
    <w:rsid w:val="00A44570"/>
    <w:rsid w:val="00A455A1"/>
    <w:rsid w:val="00A4623F"/>
    <w:rsid w:val="00A46635"/>
    <w:rsid w:val="00A47091"/>
    <w:rsid w:val="00A473CD"/>
    <w:rsid w:val="00A4791C"/>
    <w:rsid w:val="00A47A04"/>
    <w:rsid w:val="00A5090C"/>
    <w:rsid w:val="00A50A3A"/>
    <w:rsid w:val="00A50ECC"/>
    <w:rsid w:val="00A522E4"/>
    <w:rsid w:val="00A529A9"/>
    <w:rsid w:val="00A53087"/>
    <w:rsid w:val="00A53CEB"/>
    <w:rsid w:val="00A5510E"/>
    <w:rsid w:val="00A56CC6"/>
    <w:rsid w:val="00A56E3F"/>
    <w:rsid w:val="00A57244"/>
    <w:rsid w:val="00A60393"/>
    <w:rsid w:val="00A60D72"/>
    <w:rsid w:val="00A60F3A"/>
    <w:rsid w:val="00A611BF"/>
    <w:rsid w:val="00A6136D"/>
    <w:rsid w:val="00A61B80"/>
    <w:rsid w:val="00A61F10"/>
    <w:rsid w:val="00A6220E"/>
    <w:rsid w:val="00A62B23"/>
    <w:rsid w:val="00A63039"/>
    <w:rsid w:val="00A635A8"/>
    <w:rsid w:val="00A638FF"/>
    <w:rsid w:val="00A63AD6"/>
    <w:rsid w:val="00A63E14"/>
    <w:rsid w:val="00A6498E"/>
    <w:rsid w:val="00A65642"/>
    <w:rsid w:val="00A65FF3"/>
    <w:rsid w:val="00A6688B"/>
    <w:rsid w:val="00A66BF8"/>
    <w:rsid w:val="00A6760F"/>
    <w:rsid w:val="00A67C6A"/>
    <w:rsid w:val="00A70E0E"/>
    <w:rsid w:val="00A71504"/>
    <w:rsid w:val="00A71598"/>
    <w:rsid w:val="00A715AA"/>
    <w:rsid w:val="00A71704"/>
    <w:rsid w:val="00A71AFB"/>
    <w:rsid w:val="00A71B32"/>
    <w:rsid w:val="00A71EB1"/>
    <w:rsid w:val="00A71FA1"/>
    <w:rsid w:val="00A7232C"/>
    <w:rsid w:val="00A74C80"/>
    <w:rsid w:val="00A76ED7"/>
    <w:rsid w:val="00A7716A"/>
    <w:rsid w:val="00A7726E"/>
    <w:rsid w:val="00A80697"/>
    <w:rsid w:val="00A806E0"/>
    <w:rsid w:val="00A80A3D"/>
    <w:rsid w:val="00A84860"/>
    <w:rsid w:val="00A85F81"/>
    <w:rsid w:val="00A861C8"/>
    <w:rsid w:val="00A87D49"/>
    <w:rsid w:val="00A90138"/>
    <w:rsid w:val="00A9080B"/>
    <w:rsid w:val="00A91746"/>
    <w:rsid w:val="00A9494B"/>
    <w:rsid w:val="00A95462"/>
    <w:rsid w:val="00A970F2"/>
    <w:rsid w:val="00A97A82"/>
    <w:rsid w:val="00AA03C9"/>
    <w:rsid w:val="00AA07C0"/>
    <w:rsid w:val="00AA0CE5"/>
    <w:rsid w:val="00AA1382"/>
    <w:rsid w:val="00AA18B1"/>
    <w:rsid w:val="00AA202C"/>
    <w:rsid w:val="00AA27F9"/>
    <w:rsid w:val="00AA4020"/>
    <w:rsid w:val="00AA4B6F"/>
    <w:rsid w:val="00AA4DA8"/>
    <w:rsid w:val="00AA511A"/>
    <w:rsid w:val="00AA5E9D"/>
    <w:rsid w:val="00AA6C0D"/>
    <w:rsid w:val="00AA7848"/>
    <w:rsid w:val="00AA796D"/>
    <w:rsid w:val="00AA7D15"/>
    <w:rsid w:val="00AA7DB3"/>
    <w:rsid w:val="00AB0330"/>
    <w:rsid w:val="00AB062F"/>
    <w:rsid w:val="00AB0F6D"/>
    <w:rsid w:val="00AB11A1"/>
    <w:rsid w:val="00AB1993"/>
    <w:rsid w:val="00AB2350"/>
    <w:rsid w:val="00AB33F4"/>
    <w:rsid w:val="00AB344E"/>
    <w:rsid w:val="00AB3913"/>
    <w:rsid w:val="00AB3CD6"/>
    <w:rsid w:val="00AB4D00"/>
    <w:rsid w:val="00AB54C1"/>
    <w:rsid w:val="00AB5697"/>
    <w:rsid w:val="00AB59A9"/>
    <w:rsid w:val="00AB5F7B"/>
    <w:rsid w:val="00AB6F05"/>
    <w:rsid w:val="00AC2A26"/>
    <w:rsid w:val="00AC2E9B"/>
    <w:rsid w:val="00AC3015"/>
    <w:rsid w:val="00AC3479"/>
    <w:rsid w:val="00AC355C"/>
    <w:rsid w:val="00AC3E4F"/>
    <w:rsid w:val="00AC4404"/>
    <w:rsid w:val="00AC4A65"/>
    <w:rsid w:val="00AC73DF"/>
    <w:rsid w:val="00AC7D3A"/>
    <w:rsid w:val="00AD015E"/>
    <w:rsid w:val="00AD16AD"/>
    <w:rsid w:val="00AD18E8"/>
    <w:rsid w:val="00AD23E3"/>
    <w:rsid w:val="00AD248E"/>
    <w:rsid w:val="00AD2534"/>
    <w:rsid w:val="00AD2F87"/>
    <w:rsid w:val="00AD335F"/>
    <w:rsid w:val="00AD3A43"/>
    <w:rsid w:val="00AD3CAD"/>
    <w:rsid w:val="00AD40E3"/>
    <w:rsid w:val="00AD44FF"/>
    <w:rsid w:val="00AD4F49"/>
    <w:rsid w:val="00AD587C"/>
    <w:rsid w:val="00AD5BE1"/>
    <w:rsid w:val="00AD6D18"/>
    <w:rsid w:val="00AD7689"/>
    <w:rsid w:val="00AD7C19"/>
    <w:rsid w:val="00AD7DD0"/>
    <w:rsid w:val="00AE01D6"/>
    <w:rsid w:val="00AE0565"/>
    <w:rsid w:val="00AE0708"/>
    <w:rsid w:val="00AE206B"/>
    <w:rsid w:val="00AE24C4"/>
    <w:rsid w:val="00AE2D92"/>
    <w:rsid w:val="00AE3161"/>
    <w:rsid w:val="00AE31BF"/>
    <w:rsid w:val="00AE3BC2"/>
    <w:rsid w:val="00AE4501"/>
    <w:rsid w:val="00AE4ADB"/>
    <w:rsid w:val="00AE4FE6"/>
    <w:rsid w:val="00AE6870"/>
    <w:rsid w:val="00AE76BC"/>
    <w:rsid w:val="00AE7843"/>
    <w:rsid w:val="00AE798E"/>
    <w:rsid w:val="00AE7ABE"/>
    <w:rsid w:val="00AE7F9F"/>
    <w:rsid w:val="00AF0822"/>
    <w:rsid w:val="00AF0E8F"/>
    <w:rsid w:val="00AF17EC"/>
    <w:rsid w:val="00AF1BEC"/>
    <w:rsid w:val="00AF27E9"/>
    <w:rsid w:val="00AF3DCD"/>
    <w:rsid w:val="00AF4152"/>
    <w:rsid w:val="00AF4200"/>
    <w:rsid w:val="00AF491D"/>
    <w:rsid w:val="00AF492A"/>
    <w:rsid w:val="00AF4E06"/>
    <w:rsid w:val="00AF52D7"/>
    <w:rsid w:val="00AF65DE"/>
    <w:rsid w:val="00AF6852"/>
    <w:rsid w:val="00AF68FC"/>
    <w:rsid w:val="00AF6C1F"/>
    <w:rsid w:val="00B00194"/>
    <w:rsid w:val="00B01CFB"/>
    <w:rsid w:val="00B01DE4"/>
    <w:rsid w:val="00B025E5"/>
    <w:rsid w:val="00B02892"/>
    <w:rsid w:val="00B04464"/>
    <w:rsid w:val="00B045F0"/>
    <w:rsid w:val="00B0525B"/>
    <w:rsid w:val="00B052F6"/>
    <w:rsid w:val="00B05650"/>
    <w:rsid w:val="00B06DE7"/>
    <w:rsid w:val="00B07EFF"/>
    <w:rsid w:val="00B114AA"/>
    <w:rsid w:val="00B11B8F"/>
    <w:rsid w:val="00B12C53"/>
    <w:rsid w:val="00B134A8"/>
    <w:rsid w:val="00B1355B"/>
    <w:rsid w:val="00B13B1E"/>
    <w:rsid w:val="00B13CC3"/>
    <w:rsid w:val="00B15117"/>
    <w:rsid w:val="00B151A4"/>
    <w:rsid w:val="00B15DA9"/>
    <w:rsid w:val="00B165C5"/>
    <w:rsid w:val="00B20072"/>
    <w:rsid w:val="00B201D2"/>
    <w:rsid w:val="00B21177"/>
    <w:rsid w:val="00B21240"/>
    <w:rsid w:val="00B217BB"/>
    <w:rsid w:val="00B21DBC"/>
    <w:rsid w:val="00B21F36"/>
    <w:rsid w:val="00B221B2"/>
    <w:rsid w:val="00B22CD1"/>
    <w:rsid w:val="00B2322A"/>
    <w:rsid w:val="00B23C5B"/>
    <w:rsid w:val="00B25257"/>
    <w:rsid w:val="00B2583F"/>
    <w:rsid w:val="00B2715B"/>
    <w:rsid w:val="00B2747D"/>
    <w:rsid w:val="00B27862"/>
    <w:rsid w:val="00B27898"/>
    <w:rsid w:val="00B30051"/>
    <w:rsid w:val="00B30360"/>
    <w:rsid w:val="00B30EC2"/>
    <w:rsid w:val="00B30F2C"/>
    <w:rsid w:val="00B31669"/>
    <w:rsid w:val="00B3193B"/>
    <w:rsid w:val="00B3237C"/>
    <w:rsid w:val="00B347A3"/>
    <w:rsid w:val="00B3507A"/>
    <w:rsid w:val="00B35206"/>
    <w:rsid w:val="00B35BEA"/>
    <w:rsid w:val="00B3676C"/>
    <w:rsid w:val="00B36DDF"/>
    <w:rsid w:val="00B37A55"/>
    <w:rsid w:val="00B37CF8"/>
    <w:rsid w:val="00B4020B"/>
    <w:rsid w:val="00B40927"/>
    <w:rsid w:val="00B40AEB"/>
    <w:rsid w:val="00B40D76"/>
    <w:rsid w:val="00B4118F"/>
    <w:rsid w:val="00B418D4"/>
    <w:rsid w:val="00B42826"/>
    <w:rsid w:val="00B42EE9"/>
    <w:rsid w:val="00B43439"/>
    <w:rsid w:val="00B44A12"/>
    <w:rsid w:val="00B45077"/>
    <w:rsid w:val="00B45146"/>
    <w:rsid w:val="00B45CE3"/>
    <w:rsid w:val="00B4613B"/>
    <w:rsid w:val="00B47E18"/>
    <w:rsid w:val="00B51A00"/>
    <w:rsid w:val="00B522F0"/>
    <w:rsid w:val="00B53591"/>
    <w:rsid w:val="00B53834"/>
    <w:rsid w:val="00B53879"/>
    <w:rsid w:val="00B545F0"/>
    <w:rsid w:val="00B5487F"/>
    <w:rsid w:val="00B55314"/>
    <w:rsid w:val="00B55998"/>
    <w:rsid w:val="00B55DA0"/>
    <w:rsid w:val="00B57470"/>
    <w:rsid w:val="00B60477"/>
    <w:rsid w:val="00B612C2"/>
    <w:rsid w:val="00B61D1B"/>
    <w:rsid w:val="00B62001"/>
    <w:rsid w:val="00B62039"/>
    <w:rsid w:val="00B622D8"/>
    <w:rsid w:val="00B63764"/>
    <w:rsid w:val="00B64141"/>
    <w:rsid w:val="00B643B5"/>
    <w:rsid w:val="00B64594"/>
    <w:rsid w:val="00B65CD9"/>
    <w:rsid w:val="00B6625D"/>
    <w:rsid w:val="00B66C0B"/>
    <w:rsid w:val="00B67230"/>
    <w:rsid w:val="00B67BA8"/>
    <w:rsid w:val="00B70494"/>
    <w:rsid w:val="00B71039"/>
    <w:rsid w:val="00B711DE"/>
    <w:rsid w:val="00B71485"/>
    <w:rsid w:val="00B71DE3"/>
    <w:rsid w:val="00B72444"/>
    <w:rsid w:val="00B730E2"/>
    <w:rsid w:val="00B738DE"/>
    <w:rsid w:val="00B7405F"/>
    <w:rsid w:val="00B742E9"/>
    <w:rsid w:val="00B74AB0"/>
    <w:rsid w:val="00B76460"/>
    <w:rsid w:val="00B772C8"/>
    <w:rsid w:val="00B77802"/>
    <w:rsid w:val="00B80369"/>
    <w:rsid w:val="00B8062E"/>
    <w:rsid w:val="00B83296"/>
    <w:rsid w:val="00B84955"/>
    <w:rsid w:val="00B85798"/>
    <w:rsid w:val="00B860E2"/>
    <w:rsid w:val="00B86255"/>
    <w:rsid w:val="00B862C0"/>
    <w:rsid w:val="00B8674E"/>
    <w:rsid w:val="00B8742C"/>
    <w:rsid w:val="00B87B4A"/>
    <w:rsid w:val="00B90ED4"/>
    <w:rsid w:val="00B90EEF"/>
    <w:rsid w:val="00B90EFC"/>
    <w:rsid w:val="00B91599"/>
    <w:rsid w:val="00B917BE"/>
    <w:rsid w:val="00B93FC3"/>
    <w:rsid w:val="00B942C7"/>
    <w:rsid w:val="00B943DB"/>
    <w:rsid w:val="00B94EF1"/>
    <w:rsid w:val="00B9500E"/>
    <w:rsid w:val="00B9525E"/>
    <w:rsid w:val="00B952E2"/>
    <w:rsid w:val="00B956C7"/>
    <w:rsid w:val="00B9674F"/>
    <w:rsid w:val="00B97117"/>
    <w:rsid w:val="00B9799F"/>
    <w:rsid w:val="00BA02B8"/>
    <w:rsid w:val="00BA04F0"/>
    <w:rsid w:val="00BA233A"/>
    <w:rsid w:val="00BA3CC7"/>
    <w:rsid w:val="00BA47FF"/>
    <w:rsid w:val="00BA5144"/>
    <w:rsid w:val="00BA530B"/>
    <w:rsid w:val="00BA55DB"/>
    <w:rsid w:val="00BA65E2"/>
    <w:rsid w:val="00BA6F12"/>
    <w:rsid w:val="00BA7766"/>
    <w:rsid w:val="00BA7AAE"/>
    <w:rsid w:val="00BB05DF"/>
    <w:rsid w:val="00BB188E"/>
    <w:rsid w:val="00BB1C21"/>
    <w:rsid w:val="00BB251F"/>
    <w:rsid w:val="00BB3820"/>
    <w:rsid w:val="00BB393B"/>
    <w:rsid w:val="00BB3B99"/>
    <w:rsid w:val="00BB4B40"/>
    <w:rsid w:val="00BB50ED"/>
    <w:rsid w:val="00BB57D8"/>
    <w:rsid w:val="00BB58D2"/>
    <w:rsid w:val="00BB66D4"/>
    <w:rsid w:val="00BB68A8"/>
    <w:rsid w:val="00BB6ECE"/>
    <w:rsid w:val="00BB791E"/>
    <w:rsid w:val="00BC09AD"/>
    <w:rsid w:val="00BC13BC"/>
    <w:rsid w:val="00BC192E"/>
    <w:rsid w:val="00BC1B56"/>
    <w:rsid w:val="00BC2AAB"/>
    <w:rsid w:val="00BC382E"/>
    <w:rsid w:val="00BC3CCF"/>
    <w:rsid w:val="00BC3E99"/>
    <w:rsid w:val="00BC52B0"/>
    <w:rsid w:val="00BC5E5A"/>
    <w:rsid w:val="00BC6985"/>
    <w:rsid w:val="00BC7A08"/>
    <w:rsid w:val="00BD0C1A"/>
    <w:rsid w:val="00BD0CF5"/>
    <w:rsid w:val="00BD127D"/>
    <w:rsid w:val="00BD1EA0"/>
    <w:rsid w:val="00BD2480"/>
    <w:rsid w:val="00BD28F4"/>
    <w:rsid w:val="00BD37C2"/>
    <w:rsid w:val="00BD3EDC"/>
    <w:rsid w:val="00BD4527"/>
    <w:rsid w:val="00BD4B7F"/>
    <w:rsid w:val="00BD4C0B"/>
    <w:rsid w:val="00BD5239"/>
    <w:rsid w:val="00BD5595"/>
    <w:rsid w:val="00BD67CF"/>
    <w:rsid w:val="00BD7C66"/>
    <w:rsid w:val="00BE01EA"/>
    <w:rsid w:val="00BE03C1"/>
    <w:rsid w:val="00BE11A0"/>
    <w:rsid w:val="00BE22D0"/>
    <w:rsid w:val="00BE26B5"/>
    <w:rsid w:val="00BE3341"/>
    <w:rsid w:val="00BE4402"/>
    <w:rsid w:val="00BE4BC0"/>
    <w:rsid w:val="00BE4C29"/>
    <w:rsid w:val="00BE4D78"/>
    <w:rsid w:val="00BE4E7D"/>
    <w:rsid w:val="00BE701F"/>
    <w:rsid w:val="00BE7135"/>
    <w:rsid w:val="00BE7B7B"/>
    <w:rsid w:val="00BE7BA3"/>
    <w:rsid w:val="00BF02EB"/>
    <w:rsid w:val="00BF048D"/>
    <w:rsid w:val="00BF0D27"/>
    <w:rsid w:val="00BF0D6F"/>
    <w:rsid w:val="00BF122B"/>
    <w:rsid w:val="00BF404B"/>
    <w:rsid w:val="00BF4181"/>
    <w:rsid w:val="00BF4C85"/>
    <w:rsid w:val="00BF4D9A"/>
    <w:rsid w:val="00BF4F78"/>
    <w:rsid w:val="00BF5965"/>
    <w:rsid w:val="00BF5B99"/>
    <w:rsid w:val="00BF5D49"/>
    <w:rsid w:val="00BF6E65"/>
    <w:rsid w:val="00BF72BE"/>
    <w:rsid w:val="00BF756B"/>
    <w:rsid w:val="00BF79AA"/>
    <w:rsid w:val="00BF7A4F"/>
    <w:rsid w:val="00BF7A54"/>
    <w:rsid w:val="00BF7D33"/>
    <w:rsid w:val="00C000D6"/>
    <w:rsid w:val="00C00110"/>
    <w:rsid w:val="00C001E1"/>
    <w:rsid w:val="00C014FB"/>
    <w:rsid w:val="00C01E74"/>
    <w:rsid w:val="00C01E9C"/>
    <w:rsid w:val="00C020EA"/>
    <w:rsid w:val="00C02196"/>
    <w:rsid w:val="00C034E7"/>
    <w:rsid w:val="00C03618"/>
    <w:rsid w:val="00C04570"/>
    <w:rsid w:val="00C06126"/>
    <w:rsid w:val="00C06135"/>
    <w:rsid w:val="00C068F6"/>
    <w:rsid w:val="00C102A7"/>
    <w:rsid w:val="00C102F6"/>
    <w:rsid w:val="00C10560"/>
    <w:rsid w:val="00C10EAF"/>
    <w:rsid w:val="00C111AF"/>
    <w:rsid w:val="00C11818"/>
    <w:rsid w:val="00C11C7D"/>
    <w:rsid w:val="00C121E5"/>
    <w:rsid w:val="00C13066"/>
    <w:rsid w:val="00C13CCF"/>
    <w:rsid w:val="00C1459D"/>
    <w:rsid w:val="00C15477"/>
    <w:rsid w:val="00C15A4C"/>
    <w:rsid w:val="00C179EF"/>
    <w:rsid w:val="00C20A8C"/>
    <w:rsid w:val="00C21ABE"/>
    <w:rsid w:val="00C235A2"/>
    <w:rsid w:val="00C23667"/>
    <w:rsid w:val="00C23F08"/>
    <w:rsid w:val="00C243EE"/>
    <w:rsid w:val="00C2718B"/>
    <w:rsid w:val="00C27313"/>
    <w:rsid w:val="00C27501"/>
    <w:rsid w:val="00C30594"/>
    <w:rsid w:val="00C3212A"/>
    <w:rsid w:val="00C323D6"/>
    <w:rsid w:val="00C32663"/>
    <w:rsid w:val="00C32F27"/>
    <w:rsid w:val="00C33538"/>
    <w:rsid w:val="00C34B47"/>
    <w:rsid w:val="00C3558D"/>
    <w:rsid w:val="00C358CA"/>
    <w:rsid w:val="00C364AC"/>
    <w:rsid w:val="00C36C02"/>
    <w:rsid w:val="00C36C8B"/>
    <w:rsid w:val="00C36FA0"/>
    <w:rsid w:val="00C37070"/>
    <w:rsid w:val="00C370C7"/>
    <w:rsid w:val="00C37135"/>
    <w:rsid w:val="00C377F0"/>
    <w:rsid w:val="00C403E5"/>
    <w:rsid w:val="00C4063C"/>
    <w:rsid w:val="00C40AFD"/>
    <w:rsid w:val="00C419BD"/>
    <w:rsid w:val="00C42047"/>
    <w:rsid w:val="00C43921"/>
    <w:rsid w:val="00C44192"/>
    <w:rsid w:val="00C444F2"/>
    <w:rsid w:val="00C4492E"/>
    <w:rsid w:val="00C44AB8"/>
    <w:rsid w:val="00C450DD"/>
    <w:rsid w:val="00C454AC"/>
    <w:rsid w:val="00C457E4"/>
    <w:rsid w:val="00C45A3F"/>
    <w:rsid w:val="00C45C25"/>
    <w:rsid w:val="00C45F31"/>
    <w:rsid w:val="00C473DE"/>
    <w:rsid w:val="00C50603"/>
    <w:rsid w:val="00C50CF4"/>
    <w:rsid w:val="00C50EFF"/>
    <w:rsid w:val="00C51565"/>
    <w:rsid w:val="00C517B1"/>
    <w:rsid w:val="00C51BD8"/>
    <w:rsid w:val="00C51CC4"/>
    <w:rsid w:val="00C52539"/>
    <w:rsid w:val="00C528E4"/>
    <w:rsid w:val="00C52D5E"/>
    <w:rsid w:val="00C5316F"/>
    <w:rsid w:val="00C53317"/>
    <w:rsid w:val="00C5360D"/>
    <w:rsid w:val="00C53919"/>
    <w:rsid w:val="00C53B2E"/>
    <w:rsid w:val="00C53F6C"/>
    <w:rsid w:val="00C54271"/>
    <w:rsid w:val="00C54569"/>
    <w:rsid w:val="00C5470F"/>
    <w:rsid w:val="00C55D65"/>
    <w:rsid w:val="00C5602C"/>
    <w:rsid w:val="00C56205"/>
    <w:rsid w:val="00C56DB1"/>
    <w:rsid w:val="00C57FC8"/>
    <w:rsid w:val="00C60B61"/>
    <w:rsid w:val="00C60C74"/>
    <w:rsid w:val="00C62B2E"/>
    <w:rsid w:val="00C62EF5"/>
    <w:rsid w:val="00C62F8C"/>
    <w:rsid w:val="00C631CB"/>
    <w:rsid w:val="00C635A2"/>
    <w:rsid w:val="00C63CEB"/>
    <w:rsid w:val="00C6445B"/>
    <w:rsid w:val="00C6477C"/>
    <w:rsid w:val="00C64D65"/>
    <w:rsid w:val="00C64DD8"/>
    <w:rsid w:val="00C6538B"/>
    <w:rsid w:val="00C67F9D"/>
    <w:rsid w:val="00C71010"/>
    <w:rsid w:val="00C712AA"/>
    <w:rsid w:val="00C713EA"/>
    <w:rsid w:val="00C71F36"/>
    <w:rsid w:val="00C71F57"/>
    <w:rsid w:val="00C72C3C"/>
    <w:rsid w:val="00C73176"/>
    <w:rsid w:val="00C7334F"/>
    <w:rsid w:val="00C736B2"/>
    <w:rsid w:val="00C737B4"/>
    <w:rsid w:val="00C743F7"/>
    <w:rsid w:val="00C746B3"/>
    <w:rsid w:val="00C74A0B"/>
    <w:rsid w:val="00C75899"/>
    <w:rsid w:val="00C75F83"/>
    <w:rsid w:val="00C7640A"/>
    <w:rsid w:val="00C76F57"/>
    <w:rsid w:val="00C802B1"/>
    <w:rsid w:val="00C80B25"/>
    <w:rsid w:val="00C80FB0"/>
    <w:rsid w:val="00C8262D"/>
    <w:rsid w:val="00C82A0B"/>
    <w:rsid w:val="00C82F7E"/>
    <w:rsid w:val="00C837CE"/>
    <w:rsid w:val="00C83D09"/>
    <w:rsid w:val="00C83EAE"/>
    <w:rsid w:val="00C845C6"/>
    <w:rsid w:val="00C8479D"/>
    <w:rsid w:val="00C85181"/>
    <w:rsid w:val="00C8592A"/>
    <w:rsid w:val="00C872E5"/>
    <w:rsid w:val="00C874A3"/>
    <w:rsid w:val="00C8760D"/>
    <w:rsid w:val="00C876B0"/>
    <w:rsid w:val="00C87C9F"/>
    <w:rsid w:val="00C87DC5"/>
    <w:rsid w:val="00C901EE"/>
    <w:rsid w:val="00C90426"/>
    <w:rsid w:val="00C9045E"/>
    <w:rsid w:val="00C908D4"/>
    <w:rsid w:val="00C90DAB"/>
    <w:rsid w:val="00C91754"/>
    <w:rsid w:val="00C92390"/>
    <w:rsid w:val="00C9354B"/>
    <w:rsid w:val="00C93969"/>
    <w:rsid w:val="00C93980"/>
    <w:rsid w:val="00C94589"/>
    <w:rsid w:val="00C94AB4"/>
    <w:rsid w:val="00C94C5A"/>
    <w:rsid w:val="00C94DC8"/>
    <w:rsid w:val="00C9597A"/>
    <w:rsid w:val="00C95E0D"/>
    <w:rsid w:val="00C96399"/>
    <w:rsid w:val="00C971A0"/>
    <w:rsid w:val="00C9725E"/>
    <w:rsid w:val="00C97FB1"/>
    <w:rsid w:val="00CA0790"/>
    <w:rsid w:val="00CA0822"/>
    <w:rsid w:val="00CA13E3"/>
    <w:rsid w:val="00CA1A44"/>
    <w:rsid w:val="00CA1EB5"/>
    <w:rsid w:val="00CA2E7D"/>
    <w:rsid w:val="00CA2F74"/>
    <w:rsid w:val="00CA393B"/>
    <w:rsid w:val="00CA3B67"/>
    <w:rsid w:val="00CA4083"/>
    <w:rsid w:val="00CA4812"/>
    <w:rsid w:val="00CA4EB6"/>
    <w:rsid w:val="00CA5161"/>
    <w:rsid w:val="00CA5B96"/>
    <w:rsid w:val="00CA5CD6"/>
    <w:rsid w:val="00CA62E4"/>
    <w:rsid w:val="00CA6703"/>
    <w:rsid w:val="00CA6B81"/>
    <w:rsid w:val="00CA6C56"/>
    <w:rsid w:val="00CA7689"/>
    <w:rsid w:val="00CA7B42"/>
    <w:rsid w:val="00CA7F86"/>
    <w:rsid w:val="00CB106C"/>
    <w:rsid w:val="00CB18DA"/>
    <w:rsid w:val="00CB20CC"/>
    <w:rsid w:val="00CB27DF"/>
    <w:rsid w:val="00CB2E21"/>
    <w:rsid w:val="00CB30A5"/>
    <w:rsid w:val="00CB3FB8"/>
    <w:rsid w:val="00CB4054"/>
    <w:rsid w:val="00CB420C"/>
    <w:rsid w:val="00CB4E86"/>
    <w:rsid w:val="00CB5632"/>
    <w:rsid w:val="00CB58DB"/>
    <w:rsid w:val="00CB5CE0"/>
    <w:rsid w:val="00CB6268"/>
    <w:rsid w:val="00CB6631"/>
    <w:rsid w:val="00CB6B86"/>
    <w:rsid w:val="00CB6BAF"/>
    <w:rsid w:val="00CB6C99"/>
    <w:rsid w:val="00CB708E"/>
    <w:rsid w:val="00CB7B6C"/>
    <w:rsid w:val="00CC04E2"/>
    <w:rsid w:val="00CC0E24"/>
    <w:rsid w:val="00CC0EF8"/>
    <w:rsid w:val="00CC116B"/>
    <w:rsid w:val="00CC15C3"/>
    <w:rsid w:val="00CC1850"/>
    <w:rsid w:val="00CC1FD2"/>
    <w:rsid w:val="00CC3269"/>
    <w:rsid w:val="00CC4BCB"/>
    <w:rsid w:val="00CC505D"/>
    <w:rsid w:val="00CC590D"/>
    <w:rsid w:val="00CC5FF4"/>
    <w:rsid w:val="00CC65B5"/>
    <w:rsid w:val="00CD026C"/>
    <w:rsid w:val="00CD0F96"/>
    <w:rsid w:val="00CD16FF"/>
    <w:rsid w:val="00CD1A7C"/>
    <w:rsid w:val="00CD2FAE"/>
    <w:rsid w:val="00CD462A"/>
    <w:rsid w:val="00CD4D6C"/>
    <w:rsid w:val="00CD55DA"/>
    <w:rsid w:val="00CD5EEB"/>
    <w:rsid w:val="00CD6DBA"/>
    <w:rsid w:val="00CD79E6"/>
    <w:rsid w:val="00CD7A9D"/>
    <w:rsid w:val="00CE0315"/>
    <w:rsid w:val="00CE0AEE"/>
    <w:rsid w:val="00CE0D24"/>
    <w:rsid w:val="00CE104C"/>
    <w:rsid w:val="00CE1388"/>
    <w:rsid w:val="00CE1897"/>
    <w:rsid w:val="00CE20AA"/>
    <w:rsid w:val="00CE2903"/>
    <w:rsid w:val="00CE2B7E"/>
    <w:rsid w:val="00CE3114"/>
    <w:rsid w:val="00CE340B"/>
    <w:rsid w:val="00CE360C"/>
    <w:rsid w:val="00CE4B00"/>
    <w:rsid w:val="00CE51EC"/>
    <w:rsid w:val="00CE541C"/>
    <w:rsid w:val="00CE5845"/>
    <w:rsid w:val="00CE666A"/>
    <w:rsid w:val="00CE7383"/>
    <w:rsid w:val="00CE78A8"/>
    <w:rsid w:val="00CF03F1"/>
    <w:rsid w:val="00CF0570"/>
    <w:rsid w:val="00CF079C"/>
    <w:rsid w:val="00CF0811"/>
    <w:rsid w:val="00CF0A39"/>
    <w:rsid w:val="00CF0F81"/>
    <w:rsid w:val="00CF1C19"/>
    <w:rsid w:val="00CF1FEE"/>
    <w:rsid w:val="00CF2813"/>
    <w:rsid w:val="00CF2937"/>
    <w:rsid w:val="00CF2CD1"/>
    <w:rsid w:val="00CF315E"/>
    <w:rsid w:val="00CF32BD"/>
    <w:rsid w:val="00CF4BFF"/>
    <w:rsid w:val="00CF4F65"/>
    <w:rsid w:val="00CF58C3"/>
    <w:rsid w:val="00CF5D2C"/>
    <w:rsid w:val="00CF6121"/>
    <w:rsid w:val="00CF6D20"/>
    <w:rsid w:val="00CF6E3B"/>
    <w:rsid w:val="00CF702E"/>
    <w:rsid w:val="00CF7BB8"/>
    <w:rsid w:val="00D0143A"/>
    <w:rsid w:val="00D01782"/>
    <w:rsid w:val="00D02078"/>
    <w:rsid w:val="00D02BD2"/>
    <w:rsid w:val="00D04296"/>
    <w:rsid w:val="00D045BA"/>
    <w:rsid w:val="00D04868"/>
    <w:rsid w:val="00D04A4E"/>
    <w:rsid w:val="00D05277"/>
    <w:rsid w:val="00D05618"/>
    <w:rsid w:val="00D057B2"/>
    <w:rsid w:val="00D0660A"/>
    <w:rsid w:val="00D070A2"/>
    <w:rsid w:val="00D07637"/>
    <w:rsid w:val="00D07F95"/>
    <w:rsid w:val="00D10268"/>
    <w:rsid w:val="00D105F6"/>
    <w:rsid w:val="00D111A2"/>
    <w:rsid w:val="00D11863"/>
    <w:rsid w:val="00D12631"/>
    <w:rsid w:val="00D12C05"/>
    <w:rsid w:val="00D12FD9"/>
    <w:rsid w:val="00D132BD"/>
    <w:rsid w:val="00D1346F"/>
    <w:rsid w:val="00D1364D"/>
    <w:rsid w:val="00D136FF"/>
    <w:rsid w:val="00D1455E"/>
    <w:rsid w:val="00D14854"/>
    <w:rsid w:val="00D14BE6"/>
    <w:rsid w:val="00D153B9"/>
    <w:rsid w:val="00D1541A"/>
    <w:rsid w:val="00D15716"/>
    <w:rsid w:val="00D15995"/>
    <w:rsid w:val="00D15F19"/>
    <w:rsid w:val="00D17E1C"/>
    <w:rsid w:val="00D209FD"/>
    <w:rsid w:val="00D21327"/>
    <w:rsid w:val="00D2275E"/>
    <w:rsid w:val="00D231DA"/>
    <w:rsid w:val="00D234F8"/>
    <w:rsid w:val="00D23534"/>
    <w:rsid w:val="00D23A93"/>
    <w:rsid w:val="00D23C1C"/>
    <w:rsid w:val="00D23E47"/>
    <w:rsid w:val="00D2493D"/>
    <w:rsid w:val="00D24C94"/>
    <w:rsid w:val="00D2619E"/>
    <w:rsid w:val="00D262B6"/>
    <w:rsid w:val="00D271C2"/>
    <w:rsid w:val="00D277C6"/>
    <w:rsid w:val="00D278DF"/>
    <w:rsid w:val="00D30B6E"/>
    <w:rsid w:val="00D3159A"/>
    <w:rsid w:val="00D322A5"/>
    <w:rsid w:val="00D323B7"/>
    <w:rsid w:val="00D33078"/>
    <w:rsid w:val="00D332DD"/>
    <w:rsid w:val="00D342E7"/>
    <w:rsid w:val="00D34437"/>
    <w:rsid w:val="00D37E84"/>
    <w:rsid w:val="00D409CF"/>
    <w:rsid w:val="00D429B4"/>
    <w:rsid w:val="00D42BE6"/>
    <w:rsid w:val="00D432DB"/>
    <w:rsid w:val="00D43509"/>
    <w:rsid w:val="00D43AA5"/>
    <w:rsid w:val="00D44056"/>
    <w:rsid w:val="00D449AE"/>
    <w:rsid w:val="00D44D85"/>
    <w:rsid w:val="00D44FF2"/>
    <w:rsid w:val="00D4506D"/>
    <w:rsid w:val="00D4519F"/>
    <w:rsid w:val="00D45682"/>
    <w:rsid w:val="00D4584C"/>
    <w:rsid w:val="00D45F49"/>
    <w:rsid w:val="00D46291"/>
    <w:rsid w:val="00D46833"/>
    <w:rsid w:val="00D47766"/>
    <w:rsid w:val="00D50D1C"/>
    <w:rsid w:val="00D51382"/>
    <w:rsid w:val="00D5215C"/>
    <w:rsid w:val="00D53352"/>
    <w:rsid w:val="00D53C3C"/>
    <w:rsid w:val="00D55160"/>
    <w:rsid w:val="00D55167"/>
    <w:rsid w:val="00D551EB"/>
    <w:rsid w:val="00D55F82"/>
    <w:rsid w:val="00D56591"/>
    <w:rsid w:val="00D56DC7"/>
    <w:rsid w:val="00D56EF7"/>
    <w:rsid w:val="00D57242"/>
    <w:rsid w:val="00D57D89"/>
    <w:rsid w:val="00D57FA6"/>
    <w:rsid w:val="00D61246"/>
    <w:rsid w:val="00D6188C"/>
    <w:rsid w:val="00D62A59"/>
    <w:rsid w:val="00D62C25"/>
    <w:rsid w:val="00D63056"/>
    <w:rsid w:val="00D64A9B"/>
    <w:rsid w:val="00D652C0"/>
    <w:rsid w:val="00D65B0D"/>
    <w:rsid w:val="00D65CEC"/>
    <w:rsid w:val="00D6630B"/>
    <w:rsid w:val="00D66322"/>
    <w:rsid w:val="00D66BC3"/>
    <w:rsid w:val="00D67808"/>
    <w:rsid w:val="00D7019F"/>
    <w:rsid w:val="00D70487"/>
    <w:rsid w:val="00D70DCC"/>
    <w:rsid w:val="00D714CB"/>
    <w:rsid w:val="00D724E9"/>
    <w:rsid w:val="00D72F5A"/>
    <w:rsid w:val="00D7328D"/>
    <w:rsid w:val="00D73A97"/>
    <w:rsid w:val="00D745F1"/>
    <w:rsid w:val="00D74AF2"/>
    <w:rsid w:val="00D74D7E"/>
    <w:rsid w:val="00D76831"/>
    <w:rsid w:val="00D76BBA"/>
    <w:rsid w:val="00D76D6A"/>
    <w:rsid w:val="00D77279"/>
    <w:rsid w:val="00D8010C"/>
    <w:rsid w:val="00D8065D"/>
    <w:rsid w:val="00D812DA"/>
    <w:rsid w:val="00D814FD"/>
    <w:rsid w:val="00D81541"/>
    <w:rsid w:val="00D818F6"/>
    <w:rsid w:val="00D827FF"/>
    <w:rsid w:val="00D82F5E"/>
    <w:rsid w:val="00D830E0"/>
    <w:rsid w:val="00D833E9"/>
    <w:rsid w:val="00D83532"/>
    <w:rsid w:val="00D8386C"/>
    <w:rsid w:val="00D84D22"/>
    <w:rsid w:val="00D8576B"/>
    <w:rsid w:val="00D85D47"/>
    <w:rsid w:val="00D86015"/>
    <w:rsid w:val="00D8629A"/>
    <w:rsid w:val="00D870E8"/>
    <w:rsid w:val="00D8719B"/>
    <w:rsid w:val="00D8723E"/>
    <w:rsid w:val="00D87348"/>
    <w:rsid w:val="00D879F5"/>
    <w:rsid w:val="00D90FE5"/>
    <w:rsid w:val="00D9192B"/>
    <w:rsid w:val="00D91E19"/>
    <w:rsid w:val="00D92FF0"/>
    <w:rsid w:val="00D931F5"/>
    <w:rsid w:val="00D9425B"/>
    <w:rsid w:val="00D95743"/>
    <w:rsid w:val="00D96AAC"/>
    <w:rsid w:val="00D9720C"/>
    <w:rsid w:val="00DA070C"/>
    <w:rsid w:val="00DA0F2C"/>
    <w:rsid w:val="00DA1287"/>
    <w:rsid w:val="00DA134E"/>
    <w:rsid w:val="00DA1BFD"/>
    <w:rsid w:val="00DA2D06"/>
    <w:rsid w:val="00DA3F0D"/>
    <w:rsid w:val="00DA4108"/>
    <w:rsid w:val="00DA507E"/>
    <w:rsid w:val="00DA51E8"/>
    <w:rsid w:val="00DA5AF8"/>
    <w:rsid w:val="00DA61B8"/>
    <w:rsid w:val="00DB008B"/>
    <w:rsid w:val="00DB0337"/>
    <w:rsid w:val="00DB0441"/>
    <w:rsid w:val="00DB12CA"/>
    <w:rsid w:val="00DB1B2C"/>
    <w:rsid w:val="00DB1D63"/>
    <w:rsid w:val="00DB1F63"/>
    <w:rsid w:val="00DB2B80"/>
    <w:rsid w:val="00DB33DD"/>
    <w:rsid w:val="00DB3509"/>
    <w:rsid w:val="00DB378F"/>
    <w:rsid w:val="00DB395D"/>
    <w:rsid w:val="00DB3D60"/>
    <w:rsid w:val="00DB3D8E"/>
    <w:rsid w:val="00DB44DB"/>
    <w:rsid w:val="00DB4CCB"/>
    <w:rsid w:val="00DB6319"/>
    <w:rsid w:val="00DB6566"/>
    <w:rsid w:val="00DB6995"/>
    <w:rsid w:val="00DB6AAD"/>
    <w:rsid w:val="00DB751A"/>
    <w:rsid w:val="00DB797A"/>
    <w:rsid w:val="00DC02A0"/>
    <w:rsid w:val="00DC02F3"/>
    <w:rsid w:val="00DC03CD"/>
    <w:rsid w:val="00DC090D"/>
    <w:rsid w:val="00DC10C8"/>
    <w:rsid w:val="00DC1B8A"/>
    <w:rsid w:val="00DC1E7C"/>
    <w:rsid w:val="00DC443D"/>
    <w:rsid w:val="00DC5276"/>
    <w:rsid w:val="00DC56DF"/>
    <w:rsid w:val="00DC5BED"/>
    <w:rsid w:val="00DC5CE5"/>
    <w:rsid w:val="00DC6141"/>
    <w:rsid w:val="00DC7CE6"/>
    <w:rsid w:val="00DD0176"/>
    <w:rsid w:val="00DD2A8B"/>
    <w:rsid w:val="00DD3EC5"/>
    <w:rsid w:val="00DD46AA"/>
    <w:rsid w:val="00DD500B"/>
    <w:rsid w:val="00DD60E1"/>
    <w:rsid w:val="00DD6202"/>
    <w:rsid w:val="00DD6ACF"/>
    <w:rsid w:val="00DD720B"/>
    <w:rsid w:val="00DD75E4"/>
    <w:rsid w:val="00DD7610"/>
    <w:rsid w:val="00DD7992"/>
    <w:rsid w:val="00DD7AB2"/>
    <w:rsid w:val="00DD7C15"/>
    <w:rsid w:val="00DE1228"/>
    <w:rsid w:val="00DE1ABA"/>
    <w:rsid w:val="00DE1EB0"/>
    <w:rsid w:val="00DE2322"/>
    <w:rsid w:val="00DE319F"/>
    <w:rsid w:val="00DE3A13"/>
    <w:rsid w:val="00DE3FAE"/>
    <w:rsid w:val="00DE46D1"/>
    <w:rsid w:val="00DE46FC"/>
    <w:rsid w:val="00DE6EC3"/>
    <w:rsid w:val="00DE72B9"/>
    <w:rsid w:val="00DE7EF3"/>
    <w:rsid w:val="00DE7F09"/>
    <w:rsid w:val="00DF1AED"/>
    <w:rsid w:val="00DF1FF6"/>
    <w:rsid w:val="00DF230E"/>
    <w:rsid w:val="00DF2467"/>
    <w:rsid w:val="00DF294D"/>
    <w:rsid w:val="00DF2D49"/>
    <w:rsid w:val="00DF3BAC"/>
    <w:rsid w:val="00DF3D9A"/>
    <w:rsid w:val="00DF43DB"/>
    <w:rsid w:val="00DF46B7"/>
    <w:rsid w:val="00DF50BB"/>
    <w:rsid w:val="00DF55FC"/>
    <w:rsid w:val="00DF5912"/>
    <w:rsid w:val="00DF5C1A"/>
    <w:rsid w:val="00DF7A64"/>
    <w:rsid w:val="00E00135"/>
    <w:rsid w:val="00E005DD"/>
    <w:rsid w:val="00E00668"/>
    <w:rsid w:val="00E008F1"/>
    <w:rsid w:val="00E0091A"/>
    <w:rsid w:val="00E00AC3"/>
    <w:rsid w:val="00E00D96"/>
    <w:rsid w:val="00E00E04"/>
    <w:rsid w:val="00E019F5"/>
    <w:rsid w:val="00E03795"/>
    <w:rsid w:val="00E04554"/>
    <w:rsid w:val="00E04936"/>
    <w:rsid w:val="00E04B67"/>
    <w:rsid w:val="00E051A4"/>
    <w:rsid w:val="00E053B1"/>
    <w:rsid w:val="00E0560E"/>
    <w:rsid w:val="00E062EA"/>
    <w:rsid w:val="00E063F2"/>
    <w:rsid w:val="00E06F8B"/>
    <w:rsid w:val="00E1007B"/>
    <w:rsid w:val="00E11527"/>
    <w:rsid w:val="00E118D1"/>
    <w:rsid w:val="00E11ADC"/>
    <w:rsid w:val="00E11B50"/>
    <w:rsid w:val="00E13056"/>
    <w:rsid w:val="00E13575"/>
    <w:rsid w:val="00E13963"/>
    <w:rsid w:val="00E140AA"/>
    <w:rsid w:val="00E145A8"/>
    <w:rsid w:val="00E14832"/>
    <w:rsid w:val="00E14EB2"/>
    <w:rsid w:val="00E14F30"/>
    <w:rsid w:val="00E15863"/>
    <w:rsid w:val="00E15DC4"/>
    <w:rsid w:val="00E15E71"/>
    <w:rsid w:val="00E16287"/>
    <w:rsid w:val="00E1690A"/>
    <w:rsid w:val="00E2006E"/>
    <w:rsid w:val="00E20509"/>
    <w:rsid w:val="00E20C4C"/>
    <w:rsid w:val="00E20F08"/>
    <w:rsid w:val="00E211C7"/>
    <w:rsid w:val="00E231D9"/>
    <w:rsid w:val="00E2391B"/>
    <w:rsid w:val="00E23A68"/>
    <w:rsid w:val="00E23CAA"/>
    <w:rsid w:val="00E23D9F"/>
    <w:rsid w:val="00E24086"/>
    <w:rsid w:val="00E24308"/>
    <w:rsid w:val="00E244FC"/>
    <w:rsid w:val="00E24523"/>
    <w:rsid w:val="00E24DEB"/>
    <w:rsid w:val="00E25473"/>
    <w:rsid w:val="00E25757"/>
    <w:rsid w:val="00E25A79"/>
    <w:rsid w:val="00E2678B"/>
    <w:rsid w:val="00E26B81"/>
    <w:rsid w:val="00E27703"/>
    <w:rsid w:val="00E27809"/>
    <w:rsid w:val="00E308F2"/>
    <w:rsid w:val="00E31FA8"/>
    <w:rsid w:val="00E32123"/>
    <w:rsid w:val="00E32336"/>
    <w:rsid w:val="00E32D83"/>
    <w:rsid w:val="00E3305C"/>
    <w:rsid w:val="00E333A3"/>
    <w:rsid w:val="00E33607"/>
    <w:rsid w:val="00E33BA0"/>
    <w:rsid w:val="00E33E16"/>
    <w:rsid w:val="00E35FE2"/>
    <w:rsid w:val="00E36894"/>
    <w:rsid w:val="00E36E84"/>
    <w:rsid w:val="00E36F86"/>
    <w:rsid w:val="00E370A3"/>
    <w:rsid w:val="00E37C1D"/>
    <w:rsid w:val="00E4041D"/>
    <w:rsid w:val="00E40909"/>
    <w:rsid w:val="00E420DE"/>
    <w:rsid w:val="00E42AE7"/>
    <w:rsid w:val="00E433AB"/>
    <w:rsid w:val="00E43916"/>
    <w:rsid w:val="00E43F6E"/>
    <w:rsid w:val="00E45415"/>
    <w:rsid w:val="00E47288"/>
    <w:rsid w:val="00E47A3F"/>
    <w:rsid w:val="00E47A41"/>
    <w:rsid w:val="00E50EF4"/>
    <w:rsid w:val="00E517FC"/>
    <w:rsid w:val="00E52393"/>
    <w:rsid w:val="00E528FD"/>
    <w:rsid w:val="00E5460D"/>
    <w:rsid w:val="00E5488F"/>
    <w:rsid w:val="00E54CA8"/>
    <w:rsid w:val="00E54D6F"/>
    <w:rsid w:val="00E54DDE"/>
    <w:rsid w:val="00E552AD"/>
    <w:rsid w:val="00E55ED2"/>
    <w:rsid w:val="00E5678C"/>
    <w:rsid w:val="00E613CB"/>
    <w:rsid w:val="00E61B02"/>
    <w:rsid w:val="00E61E5A"/>
    <w:rsid w:val="00E63B03"/>
    <w:rsid w:val="00E64CA4"/>
    <w:rsid w:val="00E65BDE"/>
    <w:rsid w:val="00E65E4E"/>
    <w:rsid w:val="00E65FC2"/>
    <w:rsid w:val="00E6680A"/>
    <w:rsid w:val="00E66877"/>
    <w:rsid w:val="00E66F32"/>
    <w:rsid w:val="00E6722D"/>
    <w:rsid w:val="00E6767F"/>
    <w:rsid w:val="00E679FF"/>
    <w:rsid w:val="00E67F9C"/>
    <w:rsid w:val="00E70408"/>
    <w:rsid w:val="00E70E30"/>
    <w:rsid w:val="00E71583"/>
    <w:rsid w:val="00E72FBC"/>
    <w:rsid w:val="00E73C9A"/>
    <w:rsid w:val="00E73DC5"/>
    <w:rsid w:val="00E74323"/>
    <w:rsid w:val="00E74592"/>
    <w:rsid w:val="00E74A42"/>
    <w:rsid w:val="00E74AD0"/>
    <w:rsid w:val="00E74DAA"/>
    <w:rsid w:val="00E75CDF"/>
    <w:rsid w:val="00E75D06"/>
    <w:rsid w:val="00E761B0"/>
    <w:rsid w:val="00E76545"/>
    <w:rsid w:val="00E76554"/>
    <w:rsid w:val="00E77395"/>
    <w:rsid w:val="00E77498"/>
    <w:rsid w:val="00E7772A"/>
    <w:rsid w:val="00E77CA4"/>
    <w:rsid w:val="00E809DC"/>
    <w:rsid w:val="00E81617"/>
    <w:rsid w:val="00E81F0C"/>
    <w:rsid w:val="00E8202F"/>
    <w:rsid w:val="00E8224B"/>
    <w:rsid w:val="00E83110"/>
    <w:rsid w:val="00E83589"/>
    <w:rsid w:val="00E83C36"/>
    <w:rsid w:val="00E83EC2"/>
    <w:rsid w:val="00E85404"/>
    <w:rsid w:val="00E85C54"/>
    <w:rsid w:val="00E8644E"/>
    <w:rsid w:val="00E86581"/>
    <w:rsid w:val="00E8673C"/>
    <w:rsid w:val="00E876DE"/>
    <w:rsid w:val="00E9002A"/>
    <w:rsid w:val="00E9168C"/>
    <w:rsid w:val="00E91C2E"/>
    <w:rsid w:val="00E923A0"/>
    <w:rsid w:val="00E92428"/>
    <w:rsid w:val="00E92D84"/>
    <w:rsid w:val="00E92E8F"/>
    <w:rsid w:val="00E934F9"/>
    <w:rsid w:val="00E93712"/>
    <w:rsid w:val="00E93F61"/>
    <w:rsid w:val="00E94244"/>
    <w:rsid w:val="00E943D5"/>
    <w:rsid w:val="00E94892"/>
    <w:rsid w:val="00E94A55"/>
    <w:rsid w:val="00E95092"/>
    <w:rsid w:val="00E953DC"/>
    <w:rsid w:val="00E95CB0"/>
    <w:rsid w:val="00E968B8"/>
    <w:rsid w:val="00E96B52"/>
    <w:rsid w:val="00E97124"/>
    <w:rsid w:val="00E973E6"/>
    <w:rsid w:val="00EA022C"/>
    <w:rsid w:val="00EA04B6"/>
    <w:rsid w:val="00EA0569"/>
    <w:rsid w:val="00EA0596"/>
    <w:rsid w:val="00EA0AF0"/>
    <w:rsid w:val="00EA0DF6"/>
    <w:rsid w:val="00EA1748"/>
    <w:rsid w:val="00EA1920"/>
    <w:rsid w:val="00EA1C95"/>
    <w:rsid w:val="00EA23AD"/>
    <w:rsid w:val="00EA2557"/>
    <w:rsid w:val="00EA29BE"/>
    <w:rsid w:val="00EA2BBF"/>
    <w:rsid w:val="00EA2BD1"/>
    <w:rsid w:val="00EA3EA0"/>
    <w:rsid w:val="00EA5FE0"/>
    <w:rsid w:val="00EA620D"/>
    <w:rsid w:val="00EA77CD"/>
    <w:rsid w:val="00EB19B4"/>
    <w:rsid w:val="00EB1A11"/>
    <w:rsid w:val="00EB28C5"/>
    <w:rsid w:val="00EB37C2"/>
    <w:rsid w:val="00EB3CA8"/>
    <w:rsid w:val="00EB4718"/>
    <w:rsid w:val="00EB56B3"/>
    <w:rsid w:val="00EC1A9B"/>
    <w:rsid w:val="00EC1DF9"/>
    <w:rsid w:val="00EC1E21"/>
    <w:rsid w:val="00EC2991"/>
    <w:rsid w:val="00EC2D04"/>
    <w:rsid w:val="00EC30F9"/>
    <w:rsid w:val="00EC3A74"/>
    <w:rsid w:val="00EC3C5C"/>
    <w:rsid w:val="00EC3DCC"/>
    <w:rsid w:val="00EC4049"/>
    <w:rsid w:val="00EC4D4E"/>
    <w:rsid w:val="00EC5A33"/>
    <w:rsid w:val="00EC5ACD"/>
    <w:rsid w:val="00EC5D73"/>
    <w:rsid w:val="00EC6686"/>
    <w:rsid w:val="00EC688F"/>
    <w:rsid w:val="00EC6F6C"/>
    <w:rsid w:val="00ED0096"/>
    <w:rsid w:val="00ED00DB"/>
    <w:rsid w:val="00ED0B0C"/>
    <w:rsid w:val="00ED0D15"/>
    <w:rsid w:val="00ED0E1C"/>
    <w:rsid w:val="00ED13CC"/>
    <w:rsid w:val="00ED2305"/>
    <w:rsid w:val="00ED2798"/>
    <w:rsid w:val="00ED2D92"/>
    <w:rsid w:val="00ED3115"/>
    <w:rsid w:val="00ED3D92"/>
    <w:rsid w:val="00ED431B"/>
    <w:rsid w:val="00ED461E"/>
    <w:rsid w:val="00ED5005"/>
    <w:rsid w:val="00ED5356"/>
    <w:rsid w:val="00ED6681"/>
    <w:rsid w:val="00ED6CA2"/>
    <w:rsid w:val="00ED6E34"/>
    <w:rsid w:val="00ED7412"/>
    <w:rsid w:val="00EE1DF0"/>
    <w:rsid w:val="00EE2023"/>
    <w:rsid w:val="00EE29F0"/>
    <w:rsid w:val="00EE32DC"/>
    <w:rsid w:val="00EE3A7B"/>
    <w:rsid w:val="00EE3A7C"/>
    <w:rsid w:val="00EE3E1E"/>
    <w:rsid w:val="00EE41CA"/>
    <w:rsid w:val="00EE5390"/>
    <w:rsid w:val="00EE55EF"/>
    <w:rsid w:val="00EE5D70"/>
    <w:rsid w:val="00EE62BF"/>
    <w:rsid w:val="00EE65F3"/>
    <w:rsid w:val="00EF05AA"/>
    <w:rsid w:val="00EF088B"/>
    <w:rsid w:val="00EF0D39"/>
    <w:rsid w:val="00EF18D1"/>
    <w:rsid w:val="00EF451F"/>
    <w:rsid w:val="00EF4662"/>
    <w:rsid w:val="00EF46BD"/>
    <w:rsid w:val="00EF485E"/>
    <w:rsid w:val="00EF4982"/>
    <w:rsid w:val="00EF6044"/>
    <w:rsid w:val="00EF74E6"/>
    <w:rsid w:val="00F002F3"/>
    <w:rsid w:val="00F00581"/>
    <w:rsid w:val="00F00A68"/>
    <w:rsid w:val="00F011A7"/>
    <w:rsid w:val="00F01A1E"/>
    <w:rsid w:val="00F01D84"/>
    <w:rsid w:val="00F02100"/>
    <w:rsid w:val="00F021A3"/>
    <w:rsid w:val="00F052B8"/>
    <w:rsid w:val="00F05537"/>
    <w:rsid w:val="00F05691"/>
    <w:rsid w:val="00F06ABD"/>
    <w:rsid w:val="00F10B1A"/>
    <w:rsid w:val="00F1127C"/>
    <w:rsid w:val="00F118FB"/>
    <w:rsid w:val="00F11962"/>
    <w:rsid w:val="00F11F6A"/>
    <w:rsid w:val="00F12B71"/>
    <w:rsid w:val="00F141D4"/>
    <w:rsid w:val="00F14836"/>
    <w:rsid w:val="00F14A08"/>
    <w:rsid w:val="00F14A0C"/>
    <w:rsid w:val="00F157BD"/>
    <w:rsid w:val="00F16AD5"/>
    <w:rsid w:val="00F16AF4"/>
    <w:rsid w:val="00F20B09"/>
    <w:rsid w:val="00F21B53"/>
    <w:rsid w:val="00F2250A"/>
    <w:rsid w:val="00F2279B"/>
    <w:rsid w:val="00F23926"/>
    <w:rsid w:val="00F23F85"/>
    <w:rsid w:val="00F2405D"/>
    <w:rsid w:val="00F24933"/>
    <w:rsid w:val="00F24CD4"/>
    <w:rsid w:val="00F254EF"/>
    <w:rsid w:val="00F30904"/>
    <w:rsid w:val="00F30BB2"/>
    <w:rsid w:val="00F317A2"/>
    <w:rsid w:val="00F3188D"/>
    <w:rsid w:val="00F31A90"/>
    <w:rsid w:val="00F324CD"/>
    <w:rsid w:val="00F33040"/>
    <w:rsid w:val="00F3326D"/>
    <w:rsid w:val="00F335EE"/>
    <w:rsid w:val="00F33764"/>
    <w:rsid w:val="00F33DCE"/>
    <w:rsid w:val="00F34145"/>
    <w:rsid w:val="00F34163"/>
    <w:rsid w:val="00F35AD3"/>
    <w:rsid w:val="00F35CC3"/>
    <w:rsid w:val="00F35D47"/>
    <w:rsid w:val="00F3652C"/>
    <w:rsid w:val="00F36B49"/>
    <w:rsid w:val="00F4097F"/>
    <w:rsid w:val="00F40985"/>
    <w:rsid w:val="00F41D38"/>
    <w:rsid w:val="00F42046"/>
    <w:rsid w:val="00F43041"/>
    <w:rsid w:val="00F4364C"/>
    <w:rsid w:val="00F43C4C"/>
    <w:rsid w:val="00F43D54"/>
    <w:rsid w:val="00F44404"/>
    <w:rsid w:val="00F444B9"/>
    <w:rsid w:val="00F4450C"/>
    <w:rsid w:val="00F44711"/>
    <w:rsid w:val="00F453B5"/>
    <w:rsid w:val="00F45912"/>
    <w:rsid w:val="00F45EC2"/>
    <w:rsid w:val="00F45F9B"/>
    <w:rsid w:val="00F460DE"/>
    <w:rsid w:val="00F47908"/>
    <w:rsid w:val="00F47A1B"/>
    <w:rsid w:val="00F47A59"/>
    <w:rsid w:val="00F50E14"/>
    <w:rsid w:val="00F512AD"/>
    <w:rsid w:val="00F513FB"/>
    <w:rsid w:val="00F5186F"/>
    <w:rsid w:val="00F51B9D"/>
    <w:rsid w:val="00F51D21"/>
    <w:rsid w:val="00F5258A"/>
    <w:rsid w:val="00F52C36"/>
    <w:rsid w:val="00F53503"/>
    <w:rsid w:val="00F548A1"/>
    <w:rsid w:val="00F54BED"/>
    <w:rsid w:val="00F54F12"/>
    <w:rsid w:val="00F552C7"/>
    <w:rsid w:val="00F55369"/>
    <w:rsid w:val="00F5627B"/>
    <w:rsid w:val="00F56716"/>
    <w:rsid w:val="00F56A00"/>
    <w:rsid w:val="00F56A5A"/>
    <w:rsid w:val="00F56D22"/>
    <w:rsid w:val="00F57AA7"/>
    <w:rsid w:val="00F60368"/>
    <w:rsid w:val="00F6097B"/>
    <w:rsid w:val="00F60B87"/>
    <w:rsid w:val="00F6172C"/>
    <w:rsid w:val="00F629FA"/>
    <w:rsid w:val="00F62C74"/>
    <w:rsid w:val="00F62FDB"/>
    <w:rsid w:val="00F63BE2"/>
    <w:rsid w:val="00F63F1A"/>
    <w:rsid w:val="00F640CB"/>
    <w:rsid w:val="00F64953"/>
    <w:rsid w:val="00F64DCC"/>
    <w:rsid w:val="00F6511B"/>
    <w:rsid w:val="00F65A54"/>
    <w:rsid w:val="00F65D8B"/>
    <w:rsid w:val="00F66190"/>
    <w:rsid w:val="00F70319"/>
    <w:rsid w:val="00F70BB8"/>
    <w:rsid w:val="00F70D3C"/>
    <w:rsid w:val="00F710F1"/>
    <w:rsid w:val="00F7226A"/>
    <w:rsid w:val="00F72C56"/>
    <w:rsid w:val="00F733D0"/>
    <w:rsid w:val="00F73CC1"/>
    <w:rsid w:val="00F743E2"/>
    <w:rsid w:val="00F7484C"/>
    <w:rsid w:val="00F750AA"/>
    <w:rsid w:val="00F768F7"/>
    <w:rsid w:val="00F80163"/>
    <w:rsid w:val="00F8022C"/>
    <w:rsid w:val="00F80244"/>
    <w:rsid w:val="00F804B3"/>
    <w:rsid w:val="00F80BA2"/>
    <w:rsid w:val="00F80FD4"/>
    <w:rsid w:val="00F81BD5"/>
    <w:rsid w:val="00F81D5D"/>
    <w:rsid w:val="00F81F6D"/>
    <w:rsid w:val="00F8224A"/>
    <w:rsid w:val="00F827F5"/>
    <w:rsid w:val="00F82816"/>
    <w:rsid w:val="00F828EF"/>
    <w:rsid w:val="00F8386A"/>
    <w:rsid w:val="00F84989"/>
    <w:rsid w:val="00F84A4A"/>
    <w:rsid w:val="00F85279"/>
    <w:rsid w:val="00F86D61"/>
    <w:rsid w:val="00F878D5"/>
    <w:rsid w:val="00F87A2B"/>
    <w:rsid w:val="00F902E4"/>
    <w:rsid w:val="00F903BA"/>
    <w:rsid w:val="00F90903"/>
    <w:rsid w:val="00F90E9B"/>
    <w:rsid w:val="00F9155C"/>
    <w:rsid w:val="00F925F7"/>
    <w:rsid w:val="00F93077"/>
    <w:rsid w:val="00F93CB9"/>
    <w:rsid w:val="00F95538"/>
    <w:rsid w:val="00F95EDA"/>
    <w:rsid w:val="00F95FD9"/>
    <w:rsid w:val="00F9628B"/>
    <w:rsid w:val="00F9669A"/>
    <w:rsid w:val="00FA1383"/>
    <w:rsid w:val="00FA196A"/>
    <w:rsid w:val="00FA198E"/>
    <w:rsid w:val="00FA1C16"/>
    <w:rsid w:val="00FA216F"/>
    <w:rsid w:val="00FA2296"/>
    <w:rsid w:val="00FA36AF"/>
    <w:rsid w:val="00FA3A7D"/>
    <w:rsid w:val="00FA4922"/>
    <w:rsid w:val="00FA4F8E"/>
    <w:rsid w:val="00FA5262"/>
    <w:rsid w:val="00FA6342"/>
    <w:rsid w:val="00FA6AAB"/>
    <w:rsid w:val="00FA6BCD"/>
    <w:rsid w:val="00FB0161"/>
    <w:rsid w:val="00FB0B4A"/>
    <w:rsid w:val="00FB1B13"/>
    <w:rsid w:val="00FB1CB3"/>
    <w:rsid w:val="00FB23FA"/>
    <w:rsid w:val="00FB25D7"/>
    <w:rsid w:val="00FB4BE4"/>
    <w:rsid w:val="00FB4D24"/>
    <w:rsid w:val="00FB55D5"/>
    <w:rsid w:val="00FB65B0"/>
    <w:rsid w:val="00FC1421"/>
    <w:rsid w:val="00FC1491"/>
    <w:rsid w:val="00FC18DB"/>
    <w:rsid w:val="00FC2086"/>
    <w:rsid w:val="00FC2191"/>
    <w:rsid w:val="00FC2BED"/>
    <w:rsid w:val="00FC3366"/>
    <w:rsid w:val="00FC3FEA"/>
    <w:rsid w:val="00FC4611"/>
    <w:rsid w:val="00FC4F53"/>
    <w:rsid w:val="00FC597C"/>
    <w:rsid w:val="00FC5D0E"/>
    <w:rsid w:val="00FC5D9E"/>
    <w:rsid w:val="00FC5E81"/>
    <w:rsid w:val="00FC62B4"/>
    <w:rsid w:val="00FC681E"/>
    <w:rsid w:val="00FC752D"/>
    <w:rsid w:val="00FC77F2"/>
    <w:rsid w:val="00FD0085"/>
    <w:rsid w:val="00FD027A"/>
    <w:rsid w:val="00FD03F6"/>
    <w:rsid w:val="00FD07A6"/>
    <w:rsid w:val="00FD153B"/>
    <w:rsid w:val="00FD15CA"/>
    <w:rsid w:val="00FD185A"/>
    <w:rsid w:val="00FD1CD8"/>
    <w:rsid w:val="00FD269D"/>
    <w:rsid w:val="00FD32D3"/>
    <w:rsid w:val="00FD4049"/>
    <w:rsid w:val="00FD444C"/>
    <w:rsid w:val="00FD4BFB"/>
    <w:rsid w:val="00FD5BB1"/>
    <w:rsid w:val="00FD65BA"/>
    <w:rsid w:val="00FD6D88"/>
    <w:rsid w:val="00FD6ECF"/>
    <w:rsid w:val="00FD6F74"/>
    <w:rsid w:val="00FD7C93"/>
    <w:rsid w:val="00FD7FA0"/>
    <w:rsid w:val="00FE0772"/>
    <w:rsid w:val="00FE0A51"/>
    <w:rsid w:val="00FE20F7"/>
    <w:rsid w:val="00FE2E61"/>
    <w:rsid w:val="00FE3DF4"/>
    <w:rsid w:val="00FE4E2B"/>
    <w:rsid w:val="00FE5A6B"/>
    <w:rsid w:val="00FE6112"/>
    <w:rsid w:val="00FE63F9"/>
    <w:rsid w:val="00FE7173"/>
    <w:rsid w:val="00FE7A67"/>
    <w:rsid w:val="00FF0141"/>
    <w:rsid w:val="00FF09C0"/>
    <w:rsid w:val="00FF0C5A"/>
    <w:rsid w:val="00FF1284"/>
    <w:rsid w:val="00FF2915"/>
    <w:rsid w:val="00FF2936"/>
    <w:rsid w:val="00FF2F9B"/>
    <w:rsid w:val="00FF398E"/>
    <w:rsid w:val="00FF423B"/>
    <w:rsid w:val="00FF4584"/>
    <w:rsid w:val="00FF4EE7"/>
    <w:rsid w:val="00FF65B9"/>
    <w:rsid w:val="00FF6C46"/>
    <w:rsid w:val="00FF7019"/>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AAB2C-3A40-4071-83F3-E7BDDD2E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E9"/>
  </w:style>
  <w:style w:type="paragraph" w:styleId="Heading1">
    <w:name w:val="heading 1"/>
    <w:basedOn w:val="Normal"/>
    <w:link w:val="Heading1Char"/>
    <w:uiPriority w:val="1"/>
    <w:qFormat/>
    <w:rsid w:val="004F22A9"/>
    <w:pPr>
      <w:widowControl w:val="0"/>
      <w:autoSpaceDE w:val="0"/>
      <w:autoSpaceDN w:val="0"/>
      <w:spacing w:before="61" w:after="0" w:line="240" w:lineRule="auto"/>
      <w:ind w:left="1020"/>
      <w:outlineLvl w:val="0"/>
    </w:pPr>
    <w:rPr>
      <w:rFonts w:ascii="Times New Roman" w:eastAsia="Times New Roman" w:hAnsi="Times New Roman" w:cs="Times New Roman"/>
      <w:b/>
      <w:bCs/>
      <w:sz w:val="32"/>
      <w:szCs w:val="32"/>
      <w:lang w:bidi="en-US"/>
    </w:rPr>
  </w:style>
  <w:style w:type="paragraph" w:styleId="Heading2">
    <w:name w:val="heading 2"/>
    <w:basedOn w:val="Normal"/>
    <w:next w:val="Normal"/>
    <w:link w:val="Heading2Char"/>
    <w:uiPriority w:val="9"/>
    <w:semiHidden/>
    <w:unhideWhenUsed/>
    <w:qFormat/>
    <w:rsid w:val="00661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11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4A631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qFormat/>
    <w:rsid w:val="004A6318"/>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rsid w:val="004F22A9"/>
    <w:rPr>
      <w:rFonts w:ascii="Times New Roman" w:eastAsia="Times New Roman" w:hAnsi="Times New Roman" w:cs="Times New Roman"/>
      <w:b/>
      <w:bCs/>
      <w:sz w:val="32"/>
      <w:szCs w:val="32"/>
      <w:lang w:bidi="en-US"/>
    </w:rPr>
  </w:style>
  <w:style w:type="paragraph" w:styleId="ListParagraph">
    <w:name w:val="List Paragraph"/>
    <w:basedOn w:val="Normal"/>
    <w:uiPriority w:val="34"/>
    <w:qFormat/>
    <w:rsid w:val="004F22A9"/>
    <w:pPr>
      <w:widowControl w:val="0"/>
      <w:autoSpaceDE w:val="0"/>
      <w:autoSpaceDN w:val="0"/>
      <w:spacing w:before="119" w:after="0" w:line="240" w:lineRule="auto"/>
      <w:ind w:left="1380" w:hanging="720"/>
    </w:pPr>
    <w:rPr>
      <w:rFonts w:ascii="Times New Roman" w:eastAsia="Times New Roman" w:hAnsi="Times New Roman" w:cs="Times New Roman"/>
      <w:lang w:bidi="en-US"/>
    </w:rPr>
  </w:style>
  <w:style w:type="paragraph" w:customStyle="1" w:styleId="TableParagraph">
    <w:name w:val="Table Paragraph"/>
    <w:basedOn w:val="Normal"/>
    <w:uiPriority w:val="1"/>
    <w:qFormat/>
    <w:rsid w:val="004F22A9"/>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B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C5"/>
    <w:rPr>
      <w:rFonts w:ascii="Tahoma" w:hAnsi="Tahoma" w:cs="Tahoma"/>
      <w:sz w:val="16"/>
      <w:szCs w:val="16"/>
    </w:rPr>
  </w:style>
  <w:style w:type="table" w:styleId="TableGrid">
    <w:name w:val="Table Grid"/>
    <w:aliases w:val="Table No Grid"/>
    <w:basedOn w:val="TableNormal"/>
    <w:uiPriority w:val="39"/>
    <w:rsid w:val="00715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48D2"/>
    <w:rPr>
      <w:color w:val="0000FF" w:themeColor="hyperlink"/>
      <w:u w:val="single"/>
    </w:rPr>
  </w:style>
  <w:style w:type="paragraph" w:styleId="Header">
    <w:name w:val="header"/>
    <w:basedOn w:val="Normal"/>
    <w:link w:val="HeaderChar"/>
    <w:uiPriority w:val="99"/>
    <w:unhideWhenUsed/>
    <w:rsid w:val="002A6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AC5"/>
  </w:style>
  <w:style w:type="paragraph" w:styleId="Footer">
    <w:name w:val="footer"/>
    <w:basedOn w:val="Normal"/>
    <w:link w:val="FooterChar"/>
    <w:uiPriority w:val="99"/>
    <w:unhideWhenUsed/>
    <w:rsid w:val="002A6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AC5"/>
  </w:style>
  <w:style w:type="paragraph" w:customStyle="1" w:styleId="Default">
    <w:name w:val="Default"/>
    <w:rsid w:val="00811244"/>
    <w:pPr>
      <w:autoSpaceDE w:val="0"/>
      <w:autoSpaceDN w:val="0"/>
      <w:adjustRightInd w:val="0"/>
      <w:spacing w:after="0" w:line="240" w:lineRule="auto"/>
    </w:pPr>
    <w:rPr>
      <w:rFonts w:ascii="Georgia" w:hAnsi="Georgia" w:cs="Georgia"/>
      <w:color w:val="000000"/>
      <w:sz w:val="24"/>
      <w:szCs w:val="24"/>
    </w:rPr>
  </w:style>
  <w:style w:type="character" w:customStyle="1" w:styleId="A2">
    <w:name w:val="A2"/>
    <w:uiPriority w:val="99"/>
    <w:rsid w:val="006000DD"/>
    <w:rPr>
      <w:color w:val="000000"/>
      <w:sz w:val="22"/>
      <w:szCs w:val="22"/>
    </w:rPr>
  </w:style>
  <w:style w:type="character" w:customStyle="1" w:styleId="Bodytext2">
    <w:name w:val="Body text (2)_"/>
    <w:link w:val="Bodytext20"/>
    <w:rsid w:val="00472C84"/>
    <w:rPr>
      <w:shd w:val="clear" w:color="auto" w:fill="FFFFFF"/>
    </w:rPr>
  </w:style>
  <w:style w:type="paragraph" w:customStyle="1" w:styleId="Bodytext20">
    <w:name w:val="Body text (2)"/>
    <w:basedOn w:val="Normal"/>
    <w:link w:val="Bodytext2"/>
    <w:rsid w:val="00472C84"/>
    <w:pPr>
      <w:widowControl w:val="0"/>
      <w:shd w:val="clear" w:color="auto" w:fill="FFFFFF"/>
      <w:spacing w:after="0" w:line="0" w:lineRule="atLeast"/>
    </w:pPr>
  </w:style>
  <w:style w:type="paragraph" w:styleId="NormalWeb">
    <w:name w:val="Normal (Web)"/>
    <w:basedOn w:val="Normal"/>
    <w:uiPriority w:val="99"/>
    <w:unhideWhenUsed/>
    <w:rsid w:val="00AC3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5C"/>
    <w:rPr>
      <w:b/>
      <w:bCs/>
    </w:rPr>
  </w:style>
  <w:style w:type="character" w:customStyle="1" w:styleId="apple-style-span">
    <w:name w:val="apple-style-span"/>
    <w:basedOn w:val="DefaultParagraphFont"/>
    <w:rsid w:val="00112E31"/>
  </w:style>
  <w:style w:type="character" w:customStyle="1" w:styleId="artmeta">
    <w:name w:val="art_meta"/>
    <w:basedOn w:val="DefaultParagraphFont"/>
    <w:rsid w:val="00B72444"/>
  </w:style>
  <w:style w:type="character" w:customStyle="1" w:styleId="citation">
    <w:name w:val="citation"/>
    <w:basedOn w:val="DefaultParagraphFont"/>
    <w:rsid w:val="00C6477C"/>
  </w:style>
  <w:style w:type="paragraph" w:customStyle="1" w:styleId="Normal1">
    <w:name w:val="Normal1"/>
    <w:rsid w:val="006B4181"/>
    <w:rPr>
      <w:rFonts w:ascii="Calibri" w:eastAsia="Calibri" w:hAnsi="Calibri" w:cs="Calibri"/>
    </w:rPr>
  </w:style>
  <w:style w:type="character" w:customStyle="1" w:styleId="Heading2Char">
    <w:name w:val="Heading 2 Char"/>
    <w:basedOn w:val="DefaultParagraphFont"/>
    <w:link w:val="Heading2"/>
    <w:uiPriority w:val="9"/>
    <w:semiHidden/>
    <w:rsid w:val="006611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11CF"/>
    <w:rPr>
      <w:rFonts w:asciiTheme="majorHAnsi" w:eastAsiaTheme="majorEastAsia" w:hAnsiTheme="majorHAnsi" w:cstheme="majorBidi"/>
      <w:b/>
      <w:bCs/>
      <w:color w:val="4F81BD" w:themeColor="accent1"/>
    </w:rPr>
  </w:style>
  <w:style w:type="paragraph" w:customStyle="1" w:styleId="Normal10">
    <w:name w:val="Normal1"/>
    <w:rsid w:val="00FA196A"/>
    <w:rPr>
      <w:rFonts w:ascii="Calibri" w:eastAsia="Calibri" w:hAnsi="Calibri" w:cs="Calibri"/>
    </w:rPr>
  </w:style>
  <w:style w:type="character" w:customStyle="1" w:styleId="FontStyle14">
    <w:name w:val="Font Style14"/>
    <w:rsid w:val="00FA196A"/>
    <w:rPr>
      <w:rFonts w:ascii="Book Antiqua" w:hAnsi="Book Antiqua" w:cs="Book Antiqua"/>
      <w:b/>
      <w:bCs/>
      <w:sz w:val="22"/>
      <w:szCs w:val="22"/>
    </w:rPr>
  </w:style>
  <w:style w:type="paragraph" w:customStyle="1" w:styleId="Style5">
    <w:name w:val="Style5"/>
    <w:basedOn w:val="Normal"/>
    <w:rsid w:val="00FA196A"/>
    <w:pPr>
      <w:widowControl w:val="0"/>
      <w:autoSpaceDE w:val="0"/>
      <w:autoSpaceDN w:val="0"/>
      <w:adjustRightInd w:val="0"/>
      <w:spacing w:after="0" w:line="298" w:lineRule="exact"/>
      <w:jc w:val="center"/>
    </w:pPr>
    <w:rPr>
      <w:rFonts w:ascii="Book Antiqua" w:eastAsia="Times New Roman" w:hAnsi="Book Antiqua" w:cs="Arial"/>
      <w:b/>
      <w:bCs/>
      <w:sz w:val="24"/>
      <w:szCs w:val="24"/>
    </w:rPr>
  </w:style>
  <w:style w:type="paragraph" w:styleId="Caption">
    <w:name w:val="caption"/>
    <w:basedOn w:val="Normal"/>
    <w:next w:val="Normal"/>
    <w:uiPriority w:val="99"/>
    <w:unhideWhenUsed/>
    <w:qFormat/>
    <w:rsid w:val="001E50E4"/>
    <w:pPr>
      <w:spacing w:after="0" w:line="480" w:lineRule="auto"/>
    </w:pPr>
    <w:rPr>
      <w:rFonts w:ascii="Times New Roman" w:eastAsia="Calibri" w:hAnsi="Times New Roman" w:cs="SimSun"/>
      <w:b/>
      <w:bCs/>
      <w:sz w:val="24"/>
      <w:szCs w:val="18"/>
    </w:rPr>
  </w:style>
  <w:style w:type="paragraph" w:customStyle="1" w:styleId="ThesisParagraph">
    <w:name w:val="ThesisParagraph"/>
    <w:basedOn w:val="Normal"/>
    <w:link w:val="ThesisParagraphChar"/>
    <w:qFormat/>
    <w:rsid w:val="00DB3D60"/>
    <w:pPr>
      <w:spacing w:after="0" w:line="480" w:lineRule="auto"/>
      <w:ind w:firstLine="720"/>
    </w:pPr>
    <w:rPr>
      <w:rFonts w:ascii="Times New Roman" w:eastAsia="Times New Roman" w:hAnsi="Times New Roman" w:cs="Times New Roman"/>
      <w:sz w:val="24"/>
      <w:szCs w:val="24"/>
    </w:rPr>
  </w:style>
  <w:style w:type="character" w:customStyle="1" w:styleId="ThesisParagraphChar">
    <w:name w:val="ThesisParagraph Char"/>
    <w:link w:val="ThesisParagraph"/>
    <w:qFormat/>
    <w:rsid w:val="00DB3D60"/>
    <w:rPr>
      <w:rFonts w:ascii="Times New Roman" w:eastAsia="Times New Roman" w:hAnsi="Times New Roman" w:cs="Times New Roman"/>
      <w:sz w:val="24"/>
      <w:szCs w:val="24"/>
    </w:rPr>
  </w:style>
  <w:style w:type="paragraph" w:customStyle="1" w:styleId="figuredescription">
    <w:name w:val="figure description"/>
    <w:basedOn w:val="Normal"/>
    <w:qFormat/>
    <w:rsid w:val="00055613"/>
    <w:pPr>
      <w:spacing w:after="0" w:line="240" w:lineRule="auto"/>
    </w:pPr>
    <w:rPr>
      <w:rFonts w:ascii="Times New Roman" w:eastAsia="Calibri" w:hAnsi="Times New Roman" w:cs="Times New Roman"/>
      <w:sz w:val="24"/>
    </w:rPr>
  </w:style>
  <w:style w:type="paragraph" w:customStyle="1" w:styleId="ListofFigures">
    <w:name w:val="List of Figures"/>
    <w:basedOn w:val="Caption"/>
    <w:qFormat/>
    <w:rsid w:val="0055565D"/>
    <w:pPr>
      <w:spacing w:before="120" w:after="120"/>
      <w:jc w:val="center"/>
    </w:pPr>
    <w:rPr>
      <w:rFonts w:eastAsia="Times New Roman" w:cs="Times New Roman"/>
      <w:szCs w:val="20"/>
    </w:rPr>
  </w:style>
  <w:style w:type="paragraph" w:styleId="NoSpacing">
    <w:name w:val="No Spacing"/>
    <w:link w:val="NoSpacingChar"/>
    <w:uiPriority w:val="1"/>
    <w:qFormat/>
    <w:rsid w:val="00E5488F"/>
    <w:pPr>
      <w:spacing w:after="0"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18311E"/>
    <w:pPr>
      <w:spacing w:after="0" w:line="240" w:lineRule="auto"/>
      <w:jc w:val="both"/>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18311E"/>
    <w:rPr>
      <w:rFonts w:ascii="Times New Roman" w:eastAsia="Times New Roman" w:hAnsi="Times New Roman" w:cs="Times New Roman"/>
      <w:noProof/>
      <w:sz w:val="24"/>
      <w:szCs w:val="24"/>
    </w:rPr>
  </w:style>
  <w:style w:type="paragraph" w:customStyle="1" w:styleId="TableofContents">
    <w:name w:val="Table of Contents"/>
    <w:basedOn w:val="Normal"/>
    <w:qFormat/>
    <w:rsid w:val="0018311E"/>
    <w:pPr>
      <w:spacing w:line="360" w:lineRule="auto"/>
      <w:jc w:val="center"/>
    </w:pPr>
    <w:rPr>
      <w:rFonts w:ascii="Times New Roman" w:eastAsia="Calibri" w:hAnsi="Times New Roman" w:cs="Times New Roman"/>
      <w:b/>
      <w:sz w:val="28"/>
      <w:szCs w:val="28"/>
    </w:rPr>
  </w:style>
  <w:style w:type="character" w:customStyle="1" w:styleId="NoSpacingChar">
    <w:name w:val="No Spacing Char"/>
    <w:basedOn w:val="DefaultParagraphFont"/>
    <w:link w:val="NoSpacing"/>
    <w:uiPriority w:val="1"/>
    <w:rsid w:val="00A209CD"/>
    <w:rPr>
      <w:rFonts w:ascii="Times New Roman" w:eastAsia="Times New Roman" w:hAnsi="Times New Roman" w:cs="Times New Roman"/>
      <w:sz w:val="24"/>
      <w:szCs w:val="24"/>
    </w:rPr>
  </w:style>
  <w:style w:type="character" w:customStyle="1" w:styleId="fontstyle01">
    <w:name w:val="fontstyle01"/>
    <w:rsid w:val="00BD5595"/>
    <w:rPr>
      <w:rFonts w:ascii="Times New Roman" w:hAnsi="Times New Roman" w:cs="Times New Roman" w:hint="default"/>
      <w:b w:val="0"/>
      <w:bCs w:val="0"/>
      <w:i w:val="0"/>
      <w:iCs w:val="0"/>
      <w:color w:val="000000"/>
      <w:sz w:val="24"/>
      <w:szCs w:val="24"/>
    </w:rPr>
  </w:style>
  <w:style w:type="character" w:styleId="FootnoteReference">
    <w:name w:val="footnote reference"/>
    <w:basedOn w:val="DefaultParagraphFont"/>
    <w:uiPriority w:val="99"/>
    <w:semiHidden/>
    <w:unhideWhenUsed/>
    <w:rsid w:val="005819B8"/>
    <w:rPr>
      <w:vertAlign w:val="superscript"/>
    </w:rPr>
  </w:style>
  <w:style w:type="character" w:customStyle="1" w:styleId="apple-converted-space">
    <w:name w:val="apple-converted-space"/>
    <w:basedOn w:val="DefaultParagraphFont"/>
    <w:rsid w:val="00952F83"/>
  </w:style>
  <w:style w:type="paragraph" w:customStyle="1" w:styleId="Style">
    <w:name w:val="Style"/>
    <w:rsid w:val="00405FD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7471">
      <w:bodyDiv w:val="1"/>
      <w:marLeft w:val="0"/>
      <w:marRight w:val="0"/>
      <w:marTop w:val="0"/>
      <w:marBottom w:val="0"/>
      <w:divBdr>
        <w:top w:val="none" w:sz="0" w:space="0" w:color="auto"/>
        <w:left w:val="none" w:sz="0" w:space="0" w:color="auto"/>
        <w:bottom w:val="none" w:sz="0" w:space="0" w:color="auto"/>
        <w:right w:val="none" w:sz="0" w:space="0" w:color="auto"/>
      </w:divBdr>
    </w:div>
    <w:div w:id="774788232">
      <w:bodyDiv w:val="1"/>
      <w:marLeft w:val="0"/>
      <w:marRight w:val="0"/>
      <w:marTop w:val="0"/>
      <w:marBottom w:val="0"/>
      <w:divBdr>
        <w:top w:val="none" w:sz="0" w:space="0" w:color="auto"/>
        <w:left w:val="none" w:sz="0" w:space="0" w:color="auto"/>
        <w:bottom w:val="none" w:sz="0" w:space="0" w:color="auto"/>
        <w:right w:val="none" w:sz="0" w:space="0" w:color="auto"/>
      </w:divBdr>
    </w:div>
    <w:div w:id="924458918">
      <w:bodyDiv w:val="1"/>
      <w:marLeft w:val="0"/>
      <w:marRight w:val="0"/>
      <w:marTop w:val="0"/>
      <w:marBottom w:val="0"/>
      <w:divBdr>
        <w:top w:val="none" w:sz="0" w:space="0" w:color="auto"/>
        <w:left w:val="none" w:sz="0" w:space="0" w:color="auto"/>
        <w:bottom w:val="none" w:sz="0" w:space="0" w:color="auto"/>
        <w:right w:val="none" w:sz="0" w:space="0" w:color="auto"/>
      </w:divBdr>
    </w:div>
    <w:div w:id="1252935942">
      <w:bodyDiv w:val="1"/>
      <w:marLeft w:val="0"/>
      <w:marRight w:val="0"/>
      <w:marTop w:val="0"/>
      <w:marBottom w:val="0"/>
      <w:divBdr>
        <w:top w:val="none" w:sz="0" w:space="0" w:color="auto"/>
        <w:left w:val="none" w:sz="0" w:space="0" w:color="auto"/>
        <w:bottom w:val="none" w:sz="0" w:space="0" w:color="auto"/>
        <w:right w:val="none" w:sz="0" w:space="0" w:color="auto"/>
      </w:divBdr>
    </w:div>
    <w:div w:id="1294412187">
      <w:bodyDiv w:val="1"/>
      <w:marLeft w:val="0"/>
      <w:marRight w:val="0"/>
      <w:marTop w:val="0"/>
      <w:marBottom w:val="0"/>
      <w:divBdr>
        <w:top w:val="none" w:sz="0" w:space="0" w:color="auto"/>
        <w:left w:val="none" w:sz="0" w:space="0" w:color="auto"/>
        <w:bottom w:val="none" w:sz="0" w:space="0" w:color="auto"/>
        <w:right w:val="none" w:sz="0" w:space="0" w:color="auto"/>
      </w:divBdr>
    </w:div>
    <w:div w:id="1340622945">
      <w:bodyDiv w:val="1"/>
      <w:marLeft w:val="0"/>
      <w:marRight w:val="0"/>
      <w:marTop w:val="0"/>
      <w:marBottom w:val="0"/>
      <w:divBdr>
        <w:top w:val="none" w:sz="0" w:space="0" w:color="auto"/>
        <w:left w:val="none" w:sz="0" w:space="0" w:color="auto"/>
        <w:bottom w:val="none" w:sz="0" w:space="0" w:color="auto"/>
        <w:right w:val="none" w:sz="0" w:space="0" w:color="auto"/>
      </w:divBdr>
    </w:div>
    <w:div w:id="1781799711">
      <w:bodyDiv w:val="1"/>
      <w:marLeft w:val="0"/>
      <w:marRight w:val="0"/>
      <w:marTop w:val="0"/>
      <w:marBottom w:val="0"/>
      <w:divBdr>
        <w:top w:val="none" w:sz="0" w:space="0" w:color="auto"/>
        <w:left w:val="none" w:sz="0" w:space="0" w:color="auto"/>
        <w:bottom w:val="none" w:sz="0" w:space="0" w:color="auto"/>
        <w:right w:val="none" w:sz="0" w:space="0" w:color="auto"/>
      </w:divBdr>
    </w:div>
    <w:div w:id="19449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2-334-4381889"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hussain209@gmail.com%20" TargetMode="Externa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700"/>
              <a:t>Fibrinogen (mg/dl)</a:t>
            </a:r>
          </a:p>
        </c:rich>
      </c:tx>
      <c:layout>
        <c:manualLayout>
          <c:xMode val="edge"/>
          <c:yMode val="edge"/>
          <c:x val="0.33540116354856836"/>
          <c:y val="3.8011683654197839E-2"/>
        </c:manualLayout>
      </c:layout>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1977999337113579"/>
          <c:y val="0.15698826803276103"/>
          <c:w val="0.83016312380747626"/>
          <c:h val="0.61998608607658989"/>
        </c:manualLayout>
      </c:layout>
      <c:bar3DChart>
        <c:barDir val="col"/>
        <c:grouping val="clustered"/>
        <c:varyColors val="0"/>
        <c:ser>
          <c:idx val="0"/>
          <c:order val="0"/>
          <c:tx>
            <c:strRef>
              <c:f>Sheet1!$F$6</c:f>
              <c:strCache>
                <c:ptCount val="1"/>
                <c:pt idx="0">
                  <c:v>Fibrinogen (mg/dl)</c:v>
                </c:pt>
              </c:strCache>
            </c:strRef>
          </c:tx>
          <c:invertIfNegative val="0"/>
          <c:cat>
            <c:strRef>
              <c:f>Sheet1!$G$5:$H$5</c:f>
              <c:strCache>
                <c:ptCount val="2"/>
                <c:pt idx="0">
                  <c:v>Normal</c:v>
                </c:pt>
                <c:pt idx="1">
                  <c:v>&gt;400</c:v>
                </c:pt>
              </c:strCache>
            </c:strRef>
          </c:cat>
          <c:val>
            <c:numRef>
              <c:f>Sheet1!$G$6:$H$6</c:f>
              <c:numCache>
                <c:formatCode>General</c:formatCode>
                <c:ptCount val="2"/>
                <c:pt idx="0">
                  <c:v>17</c:v>
                </c:pt>
                <c:pt idx="1">
                  <c:v>45</c:v>
                </c:pt>
              </c:numCache>
            </c:numRef>
          </c:val>
        </c:ser>
        <c:dLbls>
          <c:showLegendKey val="0"/>
          <c:showVal val="0"/>
          <c:showCatName val="0"/>
          <c:showSerName val="0"/>
          <c:showPercent val="0"/>
          <c:showBubbleSize val="0"/>
        </c:dLbls>
        <c:gapWidth val="150"/>
        <c:shape val="box"/>
        <c:axId val="419289472"/>
        <c:axId val="419290032"/>
        <c:axId val="0"/>
      </c:bar3DChart>
      <c:catAx>
        <c:axId val="419289472"/>
        <c:scaling>
          <c:orientation val="minMax"/>
        </c:scaling>
        <c:delete val="0"/>
        <c:axPos val="b"/>
        <c:numFmt formatCode="General" sourceLinked="0"/>
        <c:majorTickMark val="out"/>
        <c:minorTickMark val="none"/>
        <c:tickLblPos val="nextTo"/>
        <c:txPr>
          <a:bodyPr/>
          <a:lstStyle/>
          <a:p>
            <a:pPr>
              <a:defRPr sz="700"/>
            </a:pPr>
            <a:endParaRPr lang="en-US"/>
          </a:p>
        </c:txPr>
        <c:crossAx val="419290032"/>
        <c:crosses val="autoZero"/>
        <c:auto val="1"/>
        <c:lblAlgn val="ctr"/>
        <c:lblOffset val="100"/>
        <c:noMultiLvlLbl val="0"/>
      </c:catAx>
      <c:valAx>
        <c:axId val="419290032"/>
        <c:scaling>
          <c:orientation val="minMax"/>
        </c:scaling>
        <c:delete val="0"/>
        <c:axPos val="l"/>
        <c:numFmt formatCode="General" sourceLinked="1"/>
        <c:majorTickMark val="out"/>
        <c:minorTickMark val="none"/>
        <c:tickLblPos val="nextTo"/>
        <c:txPr>
          <a:bodyPr/>
          <a:lstStyle/>
          <a:p>
            <a:pPr>
              <a:defRPr sz="700"/>
            </a:pPr>
            <a:endParaRPr lang="en-US"/>
          </a:p>
        </c:txPr>
        <c:crossAx val="4192894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640313156929814"/>
          <c:y val="7.7192982456140424E-2"/>
          <c:w val="0.63698317458780895"/>
          <c:h val="0.72795303218676644"/>
        </c:manualLayout>
      </c:layout>
      <c:bar3DChart>
        <c:barDir val="col"/>
        <c:grouping val="clustered"/>
        <c:varyColors val="0"/>
        <c:ser>
          <c:idx val="0"/>
          <c:order val="0"/>
          <c:tx>
            <c:strRef>
              <c:f>Sheet1!$G$9</c:f>
              <c:strCache>
                <c:ptCount val="1"/>
                <c:pt idx="0">
                  <c:v>Echo - LVH(+)</c:v>
                </c:pt>
              </c:strCache>
            </c:strRef>
          </c:tx>
          <c:invertIfNegative val="0"/>
          <c:cat>
            <c:strRef>
              <c:f>Sheet1!$H$8:$I$8</c:f>
              <c:strCache>
                <c:ptCount val="2"/>
                <c:pt idx="0">
                  <c:v>&gt;400mg/dl</c:v>
                </c:pt>
                <c:pt idx="1">
                  <c:v>Normal</c:v>
                </c:pt>
              </c:strCache>
            </c:strRef>
          </c:cat>
          <c:val>
            <c:numRef>
              <c:f>Sheet1!$H$9:$I$9</c:f>
              <c:numCache>
                <c:formatCode>General</c:formatCode>
                <c:ptCount val="2"/>
                <c:pt idx="0">
                  <c:v>29</c:v>
                </c:pt>
                <c:pt idx="1">
                  <c:v>12</c:v>
                </c:pt>
              </c:numCache>
            </c:numRef>
          </c:val>
        </c:ser>
        <c:ser>
          <c:idx val="1"/>
          <c:order val="1"/>
          <c:tx>
            <c:strRef>
              <c:f>Sheet1!$G$10</c:f>
              <c:strCache>
                <c:ptCount val="1"/>
                <c:pt idx="0">
                  <c:v>Echo - LVH(-)</c:v>
                </c:pt>
              </c:strCache>
            </c:strRef>
          </c:tx>
          <c:invertIfNegative val="0"/>
          <c:cat>
            <c:strRef>
              <c:f>Sheet1!$H$8:$I$8</c:f>
              <c:strCache>
                <c:ptCount val="2"/>
                <c:pt idx="0">
                  <c:v>&gt;400mg/dl</c:v>
                </c:pt>
                <c:pt idx="1">
                  <c:v>Normal</c:v>
                </c:pt>
              </c:strCache>
            </c:strRef>
          </c:cat>
          <c:val>
            <c:numRef>
              <c:f>Sheet1!$H$10:$I$10</c:f>
              <c:numCache>
                <c:formatCode>General</c:formatCode>
                <c:ptCount val="2"/>
                <c:pt idx="0">
                  <c:v>16</c:v>
                </c:pt>
                <c:pt idx="1">
                  <c:v>5</c:v>
                </c:pt>
              </c:numCache>
            </c:numRef>
          </c:val>
        </c:ser>
        <c:dLbls>
          <c:showLegendKey val="0"/>
          <c:showVal val="0"/>
          <c:showCatName val="0"/>
          <c:showSerName val="0"/>
          <c:showPercent val="0"/>
          <c:showBubbleSize val="0"/>
        </c:dLbls>
        <c:gapWidth val="150"/>
        <c:shape val="cylinder"/>
        <c:axId val="257453872"/>
        <c:axId val="257447712"/>
        <c:axId val="0"/>
      </c:bar3DChart>
      <c:catAx>
        <c:axId val="257453872"/>
        <c:scaling>
          <c:orientation val="minMax"/>
        </c:scaling>
        <c:delete val="0"/>
        <c:axPos val="b"/>
        <c:numFmt formatCode="General" sourceLinked="0"/>
        <c:majorTickMark val="out"/>
        <c:minorTickMark val="none"/>
        <c:tickLblPos val="nextTo"/>
        <c:txPr>
          <a:bodyPr/>
          <a:lstStyle/>
          <a:p>
            <a:pPr>
              <a:defRPr sz="700"/>
            </a:pPr>
            <a:endParaRPr lang="en-US"/>
          </a:p>
        </c:txPr>
        <c:crossAx val="257447712"/>
        <c:crosses val="autoZero"/>
        <c:auto val="1"/>
        <c:lblAlgn val="ctr"/>
        <c:lblOffset val="100"/>
        <c:noMultiLvlLbl val="0"/>
      </c:catAx>
      <c:valAx>
        <c:axId val="257447712"/>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257453872"/>
        <c:crosses val="autoZero"/>
        <c:crossBetween val="between"/>
      </c:valAx>
    </c:plotArea>
    <c:legend>
      <c:legendPos val="r"/>
      <c:overlay val="0"/>
      <c:txPr>
        <a:bodyPr/>
        <a:lstStyle/>
        <a:p>
          <a:pPr>
            <a:defRPr sz="7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ALI</cp:lastModifiedBy>
  <cp:revision>4</cp:revision>
  <cp:lastPrinted>2019-09-20T07:06:00Z</cp:lastPrinted>
  <dcterms:created xsi:type="dcterms:W3CDTF">2023-03-17T16:43:00Z</dcterms:created>
  <dcterms:modified xsi:type="dcterms:W3CDTF">2023-03-24T15:30:00Z</dcterms:modified>
</cp:coreProperties>
</file>